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310"/>
        <w:gridCol w:w="5310"/>
      </w:tblGrid>
      <w:tr w:rsidR="00B71C3A" w:rsidRPr="00B71C3A" w:rsidTr="05D4E367">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B71C3A" w:rsidRPr="00B71C3A" w:rsidRDefault="00B71C3A" w:rsidP="05D4E367">
            <w:pPr>
              <w:spacing w:before="120" w:after="120" w:line="240" w:lineRule="auto"/>
              <w:rPr>
                <w:rFonts w:eastAsia="Times New Roman" w:cs="Times New Roman"/>
                <w:b/>
                <w:bCs/>
                <w:sz w:val="24"/>
                <w:szCs w:val="24"/>
                <w:lang w:eastAsia="en-GB"/>
              </w:rPr>
            </w:pPr>
            <w:r w:rsidRPr="05D4E367">
              <w:rPr>
                <w:rFonts w:eastAsia="Times New Roman" w:cs="Times New Roman"/>
                <w:b/>
                <w:bCs/>
                <w:sz w:val="24"/>
                <w:szCs w:val="24"/>
                <w:lang w:eastAsia="en-GB"/>
              </w:rPr>
              <w:t>Name of School</w:t>
            </w:r>
          </w:p>
        </w:tc>
        <w:tc>
          <w:tcPr>
            <w:tcW w:w="5310" w:type="dxa"/>
            <w:tcBorders>
              <w:top w:val="single" w:sz="4" w:space="0" w:color="auto"/>
              <w:left w:val="single" w:sz="4" w:space="0" w:color="auto"/>
              <w:bottom w:val="single" w:sz="4" w:space="0" w:color="auto"/>
              <w:right w:val="single" w:sz="4" w:space="0" w:color="auto"/>
            </w:tcBorders>
            <w:vAlign w:val="center"/>
          </w:tcPr>
          <w:p w:rsidR="00B71C3A" w:rsidRPr="00B71C3A" w:rsidRDefault="00B71C3A" w:rsidP="00B71C3A">
            <w:pPr>
              <w:spacing w:before="120" w:after="120" w:line="240" w:lineRule="auto"/>
              <w:rPr>
                <w:rFonts w:eastAsia="Times New Roman" w:cs="Times New Roman"/>
                <w:sz w:val="24"/>
                <w:szCs w:val="24"/>
                <w:lang w:eastAsia="en-GB"/>
              </w:rPr>
            </w:pPr>
            <w:r w:rsidRPr="00B71C3A">
              <w:rPr>
                <w:rFonts w:eastAsia="Times New Roman" w:cs="Times New Roman"/>
                <w:sz w:val="24"/>
                <w:szCs w:val="24"/>
                <w:lang w:eastAsia="en-GB"/>
              </w:rPr>
              <w:t>The Toynbee School</w:t>
            </w:r>
          </w:p>
        </w:tc>
      </w:tr>
      <w:tr w:rsidR="00B71C3A" w:rsidRPr="00B71C3A" w:rsidTr="05D4E367">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B71C3A" w:rsidRPr="00B71C3A" w:rsidRDefault="00B71C3A" w:rsidP="00B71C3A">
            <w:pPr>
              <w:spacing w:before="120" w:after="120" w:line="240" w:lineRule="auto"/>
              <w:rPr>
                <w:rFonts w:eastAsia="Times New Roman" w:cs="Times New Roman"/>
                <w:b/>
                <w:sz w:val="24"/>
                <w:szCs w:val="24"/>
                <w:lang w:eastAsia="en-GB"/>
              </w:rPr>
            </w:pPr>
            <w:r w:rsidRPr="00B71C3A">
              <w:rPr>
                <w:rFonts w:eastAsia="Times New Roman" w:cs="Times New Roman"/>
                <w:b/>
                <w:sz w:val="24"/>
                <w:szCs w:val="24"/>
                <w:lang w:eastAsia="en-GB"/>
              </w:rPr>
              <w:t>Date of Policy Issue/Review</w:t>
            </w:r>
          </w:p>
        </w:tc>
        <w:tc>
          <w:tcPr>
            <w:tcW w:w="5310" w:type="dxa"/>
            <w:tcBorders>
              <w:top w:val="single" w:sz="4" w:space="0" w:color="auto"/>
              <w:left w:val="single" w:sz="4" w:space="0" w:color="auto"/>
              <w:bottom w:val="single" w:sz="4" w:space="0" w:color="auto"/>
              <w:right w:val="single" w:sz="4" w:space="0" w:color="auto"/>
            </w:tcBorders>
            <w:vAlign w:val="center"/>
          </w:tcPr>
          <w:p w:rsidR="00B71C3A" w:rsidRPr="00B71C3A" w:rsidRDefault="00FD3249" w:rsidP="00B71C3A">
            <w:pPr>
              <w:spacing w:before="120" w:after="120" w:line="240" w:lineRule="auto"/>
              <w:rPr>
                <w:rFonts w:eastAsia="Times New Roman" w:cs="Times New Roman"/>
                <w:sz w:val="24"/>
                <w:szCs w:val="24"/>
                <w:lang w:eastAsia="en-GB"/>
              </w:rPr>
            </w:pPr>
            <w:r>
              <w:rPr>
                <w:rFonts w:eastAsia="Times New Roman" w:cs="Times New Roman"/>
                <w:sz w:val="24"/>
                <w:szCs w:val="24"/>
                <w:lang w:eastAsia="en-GB"/>
              </w:rPr>
              <w:t>October 20</w:t>
            </w:r>
            <w:r w:rsidR="00FF72E2">
              <w:rPr>
                <w:rFonts w:eastAsia="Times New Roman" w:cs="Times New Roman"/>
                <w:sz w:val="24"/>
                <w:szCs w:val="24"/>
                <w:lang w:eastAsia="en-GB"/>
              </w:rPr>
              <w:t>2</w:t>
            </w:r>
            <w:r w:rsidR="00AC0E1E">
              <w:rPr>
                <w:rFonts w:eastAsia="Times New Roman" w:cs="Times New Roman"/>
                <w:sz w:val="24"/>
                <w:szCs w:val="24"/>
                <w:lang w:eastAsia="en-GB"/>
              </w:rPr>
              <w:t>1</w:t>
            </w:r>
            <w:r>
              <w:rPr>
                <w:rFonts w:eastAsia="Times New Roman" w:cs="Times New Roman"/>
                <w:sz w:val="24"/>
                <w:szCs w:val="24"/>
                <w:lang w:eastAsia="en-GB"/>
              </w:rPr>
              <w:t xml:space="preserve"> / October 202</w:t>
            </w:r>
            <w:r w:rsidR="00AC0E1E">
              <w:rPr>
                <w:rFonts w:eastAsia="Times New Roman" w:cs="Times New Roman"/>
                <w:sz w:val="24"/>
                <w:szCs w:val="24"/>
                <w:lang w:eastAsia="en-GB"/>
              </w:rPr>
              <w:t>3</w:t>
            </w:r>
          </w:p>
        </w:tc>
      </w:tr>
      <w:tr w:rsidR="00B71C3A" w:rsidRPr="00B71C3A" w:rsidTr="05D4E367">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B71C3A" w:rsidRPr="00B71C3A" w:rsidRDefault="00B71C3A" w:rsidP="00B71C3A">
            <w:pPr>
              <w:spacing w:before="120" w:after="120" w:line="240" w:lineRule="auto"/>
              <w:rPr>
                <w:rFonts w:eastAsia="Times New Roman" w:cs="Times New Roman"/>
                <w:b/>
                <w:sz w:val="24"/>
                <w:szCs w:val="24"/>
                <w:lang w:eastAsia="en-GB"/>
              </w:rPr>
            </w:pPr>
            <w:r w:rsidRPr="00B71C3A">
              <w:rPr>
                <w:rFonts w:eastAsia="Times New Roman" w:cs="Times New Roman"/>
                <w:b/>
                <w:sz w:val="24"/>
                <w:szCs w:val="24"/>
                <w:lang w:eastAsia="en-GB"/>
              </w:rPr>
              <w:t>Name of Responsible Manager/Headteacher</w:t>
            </w:r>
          </w:p>
        </w:tc>
        <w:tc>
          <w:tcPr>
            <w:tcW w:w="5310" w:type="dxa"/>
            <w:tcBorders>
              <w:top w:val="single" w:sz="4" w:space="0" w:color="auto"/>
              <w:left w:val="single" w:sz="4" w:space="0" w:color="auto"/>
              <w:bottom w:val="single" w:sz="4" w:space="0" w:color="auto"/>
              <w:right w:val="single" w:sz="4" w:space="0" w:color="auto"/>
            </w:tcBorders>
            <w:vAlign w:val="center"/>
          </w:tcPr>
          <w:p w:rsidR="00B71C3A" w:rsidRPr="00B71C3A" w:rsidRDefault="00B34EFC" w:rsidP="00B71C3A">
            <w:pPr>
              <w:spacing w:before="120" w:after="120" w:line="240" w:lineRule="auto"/>
              <w:rPr>
                <w:rFonts w:eastAsia="Times New Roman" w:cs="Times New Roman"/>
                <w:sz w:val="24"/>
                <w:szCs w:val="24"/>
                <w:lang w:eastAsia="en-GB"/>
              </w:rPr>
            </w:pPr>
            <w:r>
              <w:rPr>
                <w:rFonts w:eastAsia="Times New Roman" w:cs="Times New Roman"/>
                <w:sz w:val="24"/>
                <w:szCs w:val="24"/>
                <w:lang w:eastAsia="en-GB"/>
              </w:rPr>
              <w:t>Mr M Longden</w:t>
            </w:r>
          </w:p>
        </w:tc>
      </w:tr>
      <w:tr w:rsidR="00B71C3A" w:rsidRPr="00B71C3A" w:rsidTr="05D4E367">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B71C3A" w:rsidRPr="00B71C3A" w:rsidRDefault="00B71C3A" w:rsidP="00B71C3A">
            <w:pPr>
              <w:spacing w:before="120" w:after="120" w:line="240" w:lineRule="auto"/>
              <w:rPr>
                <w:rFonts w:eastAsia="Times New Roman" w:cs="Times New Roman"/>
                <w:b/>
                <w:sz w:val="24"/>
                <w:szCs w:val="24"/>
                <w:lang w:eastAsia="en-GB"/>
              </w:rPr>
            </w:pPr>
            <w:r w:rsidRPr="00B71C3A">
              <w:rPr>
                <w:rFonts w:eastAsia="Times New Roman" w:cs="Times New Roman"/>
                <w:b/>
                <w:sz w:val="24"/>
                <w:szCs w:val="24"/>
                <w:lang w:eastAsia="en-GB"/>
              </w:rPr>
              <w:t xml:space="preserve">Governors’ Sub-Committee </w:t>
            </w:r>
          </w:p>
        </w:tc>
        <w:tc>
          <w:tcPr>
            <w:tcW w:w="5310" w:type="dxa"/>
            <w:tcBorders>
              <w:top w:val="single" w:sz="4" w:space="0" w:color="auto"/>
              <w:left w:val="single" w:sz="4" w:space="0" w:color="auto"/>
              <w:bottom w:val="single" w:sz="4" w:space="0" w:color="auto"/>
              <w:right w:val="single" w:sz="4" w:space="0" w:color="auto"/>
            </w:tcBorders>
            <w:vAlign w:val="center"/>
          </w:tcPr>
          <w:p w:rsidR="00B71C3A" w:rsidRPr="00B71C3A" w:rsidRDefault="00A330AF" w:rsidP="00B71C3A">
            <w:pPr>
              <w:spacing w:before="120" w:after="120" w:line="240" w:lineRule="auto"/>
              <w:rPr>
                <w:rFonts w:eastAsia="Times New Roman" w:cs="Times New Roman"/>
                <w:sz w:val="24"/>
                <w:szCs w:val="24"/>
                <w:lang w:eastAsia="en-GB"/>
              </w:rPr>
            </w:pPr>
            <w:r>
              <w:rPr>
                <w:rFonts w:eastAsia="Times New Roman" w:cs="Times New Roman"/>
                <w:sz w:val="24"/>
                <w:szCs w:val="24"/>
                <w:lang w:eastAsia="en-GB"/>
              </w:rPr>
              <w:t>Finance &amp; Staffing</w:t>
            </w:r>
          </w:p>
        </w:tc>
      </w:tr>
    </w:tbl>
    <w:p w:rsidR="00B34EFC" w:rsidRDefault="00B34EFC" w:rsidP="00B34EFC">
      <w:pPr>
        <w:spacing w:after="0"/>
        <w:rPr>
          <w:rFonts w:cs="Arial"/>
        </w:rPr>
      </w:pPr>
    </w:p>
    <w:tbl>
      <w:tblPr>
        <w:tblW w:w="10386" w:type="dxa"/>
        <w:tblInd w:w="-72" w:type="dxa"/>
        <w:tblLook w:val="0000" w:firstRow="0" w:lastRow="0" w:firstColumn="0" w:lastColumn="0" w:noHBand="0" w:noVBand="0"/>
      </w:tblPr>
      <w:tblGrid>
        <w:gridCol w:w="524"/>
        <w:gridCol w:w="26"/>
        <w:gridCol w:w="44"/>
        <w:gridCol w:w="375"/>
        <w:gridCol w:w="9417"/>
      </w:tblGrid>
      <w:tr w:rsidR="00A330AF" w:rsidRPr="00A330AF" w:rsidTr="734F0B5B">
        <w:tc>
          <w:tcPr>
            <w:tcW w:w="428" w:type="dxa"/>
            <w:gridSpan w:val="2"/>
          </w:tcPr>
          <w:p w:rsidR="00A330AF" w:rsidRPr="00A330AF" w:rsidRDefault="00A330AF" w:rsidP="0010507C">
            <w:pPr>
              <w:rPr>
                <w:rFonts w:cs="Arial"/>
                <w:b/>
                <w:bCs/>
                <w:sz w:val="24"/>
                <w:szCs w:val="24"/>
              </w:rPr>
            </w:pPr>
            <w:r w:rsidRPr="00A330AF">
              <w:rPr>
                <w:rFonts w:cs="Arial"/>
                <w:b/>
                <w:bCs/>
                <w:sz w:val="24"/>
                <w:szCs w:val="24"/>
              </w:rPr>
              <w:t>1.</w:t>
            </w:r>
          </w:p>
        </w:tc>
        <w:tc>
          <w:tcPr>
            <w:tcW w:w="9958" w:type="dxa"/>
            <w:gridSpan w:val="3"/>
          </w:tcPr>
          <w:p w:rsidR="00A330AF" w:rsidRPr="00A330AF" w:rsidRDefault="00A330AF" w:rsidP="0010507C">
            <w:pPr>
              <w:pStyle w:val="Heading2"/>
              <w:rPr>
                <w:rFonts w:asciiTheme="minorHAnsi" w:hAnsiTheme="minorHAnsi" w:cs="Arial"/>
                <w:sz w:val="24"/>
              </w:rPr>
            </w:pPr>
            <w:r w:rsidRPr="00A330AF">
              <w:rPr>
                <w:rFonts w:asciiTheme="minorHAnsi" w:hAnsiTheme="minorHAnsi" w:cs="Arial"/>
                <w:sz w:val="24"/>
              </w:rPr>
              <w:t>Introduction</w:t>
            </w:r>
          </w:p>
        </w:tc>
      </w:tr>
      <w:tr w:rsidR="00A330AF" w:rsidRPr="00A330AF" w:rsidTr="734F0B5B">
        <w:tc>
          <w:tcPr>
            <w:tcW w:w="428" w:type="dxa"/>
            <w:gridSpan w:val="2"/>
          </w:tcPr>
          <w:p w:rsidR="00A330AF" w:rsidRPr="00A330AF" w:rsidRDefault="00A330AF" w:rsidP="0010507C">
            <w:pPr>
              <w:rPr>
                <w:rFonts w:cs="Arial"/>
                <w:sz w:val="24"/>
                <w:szCs w:val="24"/>
              </w:rPr>
            </w:pPr>
          </w:p>
        </w:tc>
        <w:tc>
          <w:tcPr>
            <w:tcW w:w="9958" w:type="dxa"/>
            <w:gridSpan w:val="3"/>
          </w:tcPr>
          <w:p w:rsidR="00A330AF" w:rsidRPr="00A330AF" w:rsidRDefault="00A330AF" w:rsidP="0010507C">
            <w:pPr>
              <w:rPr>
                <w:rFonts w:cs="Arial"/>
                <w:sz w:val="24"/>
                <w:szCs w:val="24"/>
              </w:rPr>
            </w:pPr>
            <w:r w:rsidRPr="00A330AF">
              <w:rPr>
                <w:rFonts w:cs="Arial"/>
                <w:sz w:val="24"/>
                <w:szCs w:val="24"/>
              </w:rPr>
              <w:t>This policy has been discussed and agreed with all school staff representatives and with the school trade unions and professional associations.  It is available to all staff in the school and to any prospective applicant.  The governing body welcomes any comments or contributions to this policy document.</w:t>
            </w:r>
          </w:p>
        </w:tc>
      </w:tr>
      <w:tr w:rsidR="00A330AF" w:rsidRPr="00A330AF" w:rsidTr="734F0B5B">
        <w:tc>
          <w:tcPr>
            <w:tcW w:w="428" w:type="dxa"/>
            <w:gridSpan w:val="2"/>
          </w:tcPr>
          <w:p w:rsidR="00A330AF" w:rsidRPr="00A330AF" w:rsidRDefault="00A330AF" w:rsidP="0010507C">
            <w:pPr>
              <w:rPr>
                <w:rFonts w:cs="Arial"/>
                <w:b/>
                <w:bCs/>
                <w:sz w:val="24"/>
                <w:szCs w:val="24"/>
              </w:rPr>
            </w:pPr>
            <w:r w:rsidRPr="00A330AF">
              <w:rPr>
                <w:rFonts w:cs="Arial"/>
                <w:b/>
                <w:bCs/>
                <w:sz w:val="24"/>
                <w:szCs w:val="24"/>
              </w:rPr>
              <w:t>2.</w:t>
            </w:r>
          </w:p>
        </w:tc>
        <w:tc>
          <w:tcPr>
            <w:tcW w:w="9958" w:type="dxa"/>
            <w:gridSpan w:val="3"/>
          </w:tcPr>
          <w:p w:rsidR="00A330AF" w:rsidRPr="00A330AF" w:rsidRDefault="00A330AF" w:rsidP="0010507C">
            <w:pPr>
              <w:pStyle w:val="Heading2"/>
              <w:rPr>
                <w:rFonts w:asciiTheme="minorHAnsi" w:hAnsiTheme="minorHAnsi" w:cs="Arial"/>
                <w:sz w:val="24"/>
              </w:rPr>
            </w:pPr>
            <w:r w:rsidRPr="00A330AF">
              <w:rPr>
                <w:rFonts w:asciiTheme="minorHAnsi" w:hAnsiTheme="minorHAnsi" w:cs="Arial"/>
                <w:sz w:val="24"/>
              </w:rPr>
              <w:t>Statement of intent</w:t>
            </w:r>
          </w:p>
        </w:tc>
      </w:tr>
      <w:tr w:rsidR="00A330AF" w:rsidRPr="00A330AF" w:rsidTr="734F0B5B">
        <w:tc>
          <w:tcPr>
            <w:tcW w:w="428" w:type="dxa"/>
            <w:gridSpan w:val="2"/>
          </w:tcPr>
          <w:p w:rsidR="00A330AF" w:rsidRPr="00A330AF" w:rsidRDefault="00A330AF" w:rsidP="0010507C">
            <w:pPr>
              <w:rPr>
                <w:rFonts w:cs="Arial"/>
                <w:b/>
                <w:bCs/>
                <w:sz w:val="24"/>
                <w:szCs w:val="24"/>
              </w:rPr>
            </w:pPr>
          </w:p>
        </w:tc>
        <w:tc>
          <w:tcPr>
            <w:tcW w:w="9958" w:type="dxa"/>
            <w:gridSpan w:val="3"/>
          </w:tcPr>
          <w:p w:rsidR="00A330AF" w:rsidRPr="00A330AF" w:rsidRDefault="00A330AF" w:rsidP="0010507C">
            <w:pPr>
              <w:rPr>
                <w:rFonts w:cs="Arial"/>
                <w:sz w:val="24"/>
                <w:szCs w:val="24"/>
              </w:rPr>
            </w:pPr>
            <w:r w:rsidRPr="00A330AF">
              <w:rPr>
                <w:rFonts w:cs="Arial"/>
                <w:sz w:val="24"/>
                <w:szCs w:val="24"/>
              </w:rPr>
              <w:t>The governing body is committed to the health, safety and welfare of staff and to the involvement of staff and their representatives in the development and implementation of this policy.  The purpose of this policy is to define the governing body’s strategic approach to the management of absence and to establish a consistent framework for the fair and equitable treatment of all employees in relation to absence.  This policy embraces all forms of absences, although the policy is particularly focused upon the effective management of sickness absence.</w:t>
            </w:r>
          </w:p>
        </w:tc>
      </w:tr>
      <w:tr w:rsidR="00A330AF" w:rsidRPr="00A330AF" w:rsidTr="734F0B5B">
        <w:tc>
          <w:tcPr>
            <w:tcW w:w="428" w:type="dxa"/>
            <w:gridSpan w:val="2"/>
          </w:tcPr>
          <w:p w:rsidR="00A330AF" w:rsidRPr="00A330AF" w:rsidRDefault="00A330AF" w:rsidP="0010507C">
            <w:pPr>
              <w:rPr>
                <w:rFonts w:cs="Arial"/>
                <w:b/>
                <w:bCs/>
                <w:sz w:val="24"/>
                <w:szCs w:val="24"/>
              </w:rPr>
            </w:pPr>
          </w:p>
        </w:tc>
        <w:tc>
          <w:tcPr>
            <w:tcW w:w="9958" w:type="dxa"/>
            <w:gridSpan w:val="3"/>
          </w:tcPr>
          <w:p w:rsidR="00A330AF" w:rsidRPr="00A330AF" w:rsidRDefault="00A330AF" w:rsidP="0010507C">
            <w:pPr>
              <w:rPr>
                <w:rFonts w:cs="Arial"/>
                <w:sz w:val="24"/>
                <w:szCs w:val="24"/>
              </w:rPr>
            </w:pPr>
            <w:r w:rsidRPr="00A330AF">
              <w:rPr>
                <w:rFonts w:cs="Arial"/>
                <w:sz w:val="24"/>
                <w:szCs w:val="24"/>
              </w:rPr>
              <w:t>The governing body is committed to a proactive and positive approach to absence management which values and supports attendance.  The governing body acknowledges, however, that absence will often be for legitimate and authorised reasons and will be supported by the school.  In dealing with matters of individual absence the governing body supports a flexible and understanding approach which is sensitive to the particular circumstances.</w:t>
            </w:r>
          </w:p>
        </w:tc>
      </w:tr>
      <w:tr w:rsidR="00A330AF" w:rsidRPr="00A330AF" w:rsidTr="734F0B5B">
        <w:tc>
          <w:tcPr>
            <w:tcW w:w="428" w:type="dxa"/>
            <w:gridSpan w:val="2"/>
          </w:tcPr>
          <w:p w:rsidR="00A330AF" w:rsidRPr="00A330AF" w:rsidRDefault="00A330AF" w:rsidP="0010507C">
            <w:pPr>
              <w:rPr>
                <w:rFonts w:cs="Arial"/>
                <w:b/>
                <w:bCs/>
                <w:sz w:val="24"/>
                <w:szCs w:val="24"/>
              </w:rPr>
            </w:pPr>
          </w:p>
        </w:tc>
        <w:tc>
          <w:tcPr>
            <w:tcW w:w="9958" w:type="dxa"/>
            <w:gridSpan w:val="3"/>
          </w:tcPr>
          <w:p w:rsidR="00A330AF" w:rsidRPr="00A330AF" w:rsidRDefault="00A330AF" w:rsidP="0010507C">
            <w:pPr>
              <w:rPr>
                <w:rFonts w:cs="Arial"/>
                <w:sz w:val="24"/>
                <w:szCs w:val="24"/>
              </w:rPr>
            </w:pPr>
            <w:r w:rsidRPr="00A330AF">
              <w:rPr>
                <w:rFonts w:cs="Arial"/>
                <w:sz w:val="24"/>
                <w:szCs w:val="24"/>
              </w:rPr>
              <w:t>The governing body is committed to the exploration of alternative solutions to absence issues and only in appropriate cases, where the proper procedure has been applied, will the governing body exercise its authority to determine that an employee should cease to work at the school as a consequence of their absence.</w:t>
            </w:r>
          </w:p>
        </w:tc>
      </w:tr>
      <w:tr w:rsidR="00A330AF" w:rsidRPr="00A330AF" w:rsidTr="734F0B5B">
        <w:tc>
          <w:tcPr>
            <w:tcW w:w="428" w:type="dxa"/>
            <w:gridSpan w:val="2"/>
          </w:tcPr>
          <w:p w:rsidR="00A330AF" w:rsidRPr="00A330AF" w:rsidRDefault="00A330AF" w:rsidP="0010507C">
            <w:pPr>
              <w:rPr>
                <w:rFonts w:cs="Arial"/>
                <w:b/>
                <w:bCs/>
                <w:sz w:val="24"/>
                <w:szCs w:val="24"/>
              </w:rPr>
            </w:pPr>
            <w:r w:rsidRPr="00A330AF">
              <w:rPr>
                <w:rFonts w:cs="Arial"/>
                <w:b/>
                <w:bCs/>
                <w:sz w:val="24"/>
                <w:szCs w:val="24"/>
              </w:rPr>
              <w:t>3.</w:t>
            </w:r>
          </w:p>
        </w:tc>
        <w:tc>
          <w:tcPr>
            <w:tcW w:w="9958" w:type="dxa"/>
            <w:gridSpan w:val="3"/>
          </w:tcPr>
          <w:p w:rsidR="00A330AF" w:rsidRPr="00A330AF" w:rsidRDefault="00A330AF" w:rsidP="0010507C">
            <w:pPr>
              <w:pStyle w:val="Heading2"/>
              <w:rPr>
                <w:rFonts w:asciiTheme="minorHAnsi" w:hAnsiTheme="minorHAnsi" w:cs="Arial"/>
                <w:sz w:val="24"/>
              </w:rPr>
            </w:pPr>
            <w:r w:rsidRPr="00A330AF">
              <w:rPr>
                <w:rFonts w:asciiTheme="minorHAnsi" w:hAnsiTheme="minorHAnsi" w:cs="Arial"/>
                <w:sz w:val="24"/>
              </w:rPr>
              <w:t>Statutory and contractual requirements</w:t>
            </w:r>
          </w:p>
        </w:tc>
      </w:tr>
      <w:tr w:rsidR="00A330AF" w:rsidRPr="00A330AF" w:rsidTr="734F0B5B">
        <w:tc>
          <w:tcPr>
            <w:tcW w:w="428" w:type="dxa"/>
            <w:gridSpan w:val="2"/>
          </w:tcPr>
          <w:p w:rsidR="00A330AF" w:rsidRPr="00A330AF" w:rsidRDefault="00A330AF" w:rsidP="0010507C">
            <w:pPr>
              <w:rPr>
                <w:rFonts w:cs="Arial"/>
                <w:sz w:val="24"/>
                <w:szCs w:val="24"/>
              </w:rPr>
            </w:pPr>
          </w:p>
        </w:tc>
        <w:tc>
          <w:tcPr>
            <w:tcW w:w="9958" w:type="dxa"/>
            <w:gridSpan w:val="3"/>
          </w:tcPr>
          <w:p w:rsidR="00A330AF" w:rsidRPr="00A330AF" w:rsidRDefault="00A330AF" w:rsidP="0010507C">
            <w:pPr>
              <w:rPr>
                <w:rFonts w:cs="Arial"/>
                <w:sz w:val="24"/>
                <w:szCs w:val="24"/>
              </w:rPr>
            </w:pPr>
            <w:r w:rsidRPr="00A330AF">
              <w:rPr>
                <w:rFonts w:cs="Arial"/>
                <w:sz w:val="24"/>
                <w:szCs w:val="24"/>
              </w:rPr>
              <w:t>The governing body recognised that in certain areas the management of individual matters of ill-health and absence is governed by statutory provisions, particularly the:</w:t>
            </w:r>
          </w:p>
        </w:tc>
      </w:tr>
      <w:tr w:rsidR="00A330AF" w:rsidRPr="00A330AF" w:rsidTr="734F0B5B">
        <w:tc>
          <w:tcPr>
            <w:tcW w:w="428" w:type="dxa"/>
            <w:gridSpan w:val="2"/>
          </w:tcPr>
          <w:p w:rsidR="00A330AF" w:rsidRPr="00A330AF" w:rsidRDefault="00A330AF" w:rsidP="0010507C">
            <w:pPr>
              <w:rPr>
                <w:rFonts w:cs="Arial"/>
                <w:sz w:val="24"/>
                <w:szCs w:val="24"/>
              </w:rPr>
            </w:pPr>
          </w:p>
        </w:tc>
        <w:tc>
          <w:tcPr>
            <w:tcW w:w="9958" w:type="dxa"/>
            <w:gridSpan w:val="3"/>
          </w:tcPr>
          <w:p w:rsidR="00A330AF" w:rsidRPr="00A330AF" w:rsidRDefault="00A330AF" w:rsidP="00A330AF">
            <w:pPr>
              <w:numPr>
                <w:ilvl w:val="0"/>
                <w:numId w:val="12"/>
              </w:numPr>
              <w:spacing w:after="0" w:line="240" w:lineRule="auto"/>
              <w:rPr>
                <w:rFonts w:cs="Arial"/>
                <w:sz w:val="24"/>
                <w:szCs w:val="24"/>
              </w:rPr>
            </w:pPr>
            <w:r w:rsidRPr="00A330AF">
              <w:rPr>
                <w:rFonts w:cs="Arial"/>
                <w:sz w:val="24"/>
                <w:szCs w:val="24"/>
              </w:rPr>
              <w:t>Education (Teachers’ Qualification and Health Standards) (England) Regulations 1999 (Statutory Instrument 2166/99)</w:t>
            </w:r>
          </w:p>
        </w:tc>
      </w:tr>
      <w:tr w:rsidR="00A330AF" w:rsidRPr="00A330AF" w:rsidTr="734F0B5B">
        <w:tc>
          <w:tcPr>
            <w:tcW w:w="428" w:type="dxa"/>
            <w:gridSpan w:val="2"/>
          </w:tcPr>
          <w:p w:rsidR="00A330AF" w:rsidRPr="00A330AF" w:rsidRDefault="00A330AF" w:rsidP="0010507C">
            <w:pPr>
              <w:rPr>
                <w:rFonts w:cs="Arial"/>
                <w:sz w:val="24"/>
                <w:szCs w:val="24"/>
              </w:rPr>
            </w:pPr>
          </w:p>
        </w:tc>
        <w:tc>
          <w:tcPr>
            <w:tcW w:w="9958" w:type="dxa"/>
            <w:gridSpan w:val="3"/>
          </w:tcPr>
          <w:p w:rsidR="00A330AF" w:rsidRPr="00A330AF" w:rsidRDefault="00A330AF" w:rsidP="00A330AF">
            <w:pPr>
              <w:numPr>
                <w:ilvl w:val="0"/>
                <w:numId w:val="12"/>
              </w:numPr>
              <w:spacing w:after="0" w:line="240" w:lineRule="auto"/>
              <w:rPr>
                <w:rFonts w:cs="Arial"/>
                <w:sz w:val="24"/>
                <w:szCs w:val="24"/>
              </w:rPr>
            </w:pPr>
            <w:r w:rsidRPr="00A330AF">
              <w:rPr>
                <w:rFonts w:cs="Arial"/>
                <w:sz w:val="24"/>
                <w:szCs w:val="24"/>
              </w:rPr>
              <w:t>Disability Discrimination Act 1995</w:t>
            </w:r>
          </w:p>
        </w:tc>
      </w:tr>
      <w:tr w:rsidR="00A330AF" w:rsidRPr="00A330AF" w:rsidTr="734F0B5B">
        <w:tc>
          <w:tcPr>
            <w:tcW w:w="428" w:type="dxa"/>
            <w:gridSpan w:val="2"/>
          </w:tcPr>
          <w:p w:rsidR="00A330AF" w:rsidRPr="00A330AF" w:rsidRDefault="00A330AF" w:rsidP="0010507C">
            <w:pPr>
              <w:rPr>
                <w:rFonts w:cs="Arial"/>
                <w:sz w:val="24"/>
                <w:szCs w:val="24"/>
              </w:rPr>
            </w:pPr>
          </w:p>
        </w:tc>
        <w:tc>
          <w:tcPr>
            <w:tcW w:w="9958" w:type="dxa"/>
            <w:gridSpan w:val="3"/>
          </w:tcPr>
          <w:p w:rsidR="00A330AF" w:rsidRDefault="00A330AF" w:rsidP="00A330AF">
            <w:pPr>
              <w:numPr>
                <w:ilvl w:val="0"/>
                <w:numId w:val="12"/>
              </w:numPr>
              <w:spacing w:after="0" w:line="240" w:lineRule="auto"/>
              <w:rPr>
                <w:rFonts w:cs="Arial"/>
                <w:sz w:val="24"/>
                <w:szCs w:val="24"/>
              </w:rPr>
            </w:pPr>
            <w:r w:rsidRPr="00A330AF">
              <w:rPr>
                <w:rFonts w:cs="Arial"/>
                <w:sz w:val="24"/>
                <w:szCs w:val="24"/>
              </w:rPr>
              <w:t>Employment Rights Act 1996</w:t>
            </w:r>
          </w:p>
          <w:p w:rsidR="00FF72E2" w:rsidRDefault="00FF72E2" w:rsidP="00A330AF">
            <w:pPr>
              <w:numPr>
                <w:ilvl w:val="0"/>
                <w:numId w:val="12"/>
              </w:numPr>
              <w:spacing w:after="0" w:line="240" w:lineRule="auto"/>
              <w:rPr>
                <w:rFonts w:cs="Arial"/>
                <w:sz w:val="24"/>
                <w:szCs w:val="24"/>
              </w:rPr>
            </w:pPr>
            <w:r>
              <w:rPr>
                <w:rFonts w:cs="Arial"/>
                <w:sz w:val="24"/>
                <w:szCs w:val="24"/>
              </w:rPr>
              <w:t>The Equality Act 2010</w:t>
            </w:r>
          </w:p>
          <w:p w:rsidR="00FF72E2" w:rsidRPr="00A330AF" w:rsidRDefault="00FF72E2" w:rsidP="00A330AF">
            <w:pPr>
              <w:numPr>
                <w:ilvl w:val="0"/>
                <w:numId w:val="12"/>
              </w:numPr>
              <w:spacing w:after="0" w:line="240" w:lineRule="auto"/>
              <w:rPr>
                <w:rFonts w:cs="Arial"/>
                <w:sz w:val="24"/>
                <w:szCs w:val="24"/>
              </w:rPr>
            </w:pPr>
            <w:r>
              <w:rPr>
                <w:rFonts w:cs="Arial"/>
                <w:sz w:val="24"/>
                <w:szCs w:val="24"/>
              </w:rPr>
              <w:t>The Health and Safety at Work act 1974</w:t>
            </w:r>
          </w:p>
        </w:tc>
      </w:tr>
      <w:tr w:rsidR="00A330AF" w:rsidRPr="00A330AF" w:rsidTr="734F0B5B">
        <w:tc>
          <w:tcPr>
            <w:tcW w:w="428" w:type="dxa"/>
            <w:gridSpan w:val="2"/>
          </w:tcPr>
          <w:p w:rsidR="00A330AF" w:rsidRPr="00A330AF" w:rsidRDefault="00A330AF" w:rsidP="05D4E367">
            <w:pPr>
              <w:rPr>
                <w:rFonts w:cs="Arial"/>
                <w:sz w:val="24"/>
                <w:szCs w:val="24"/>
              </w:rPr>
            </w:pPr>
          </w:p>
          <w:p w:rsidR="00A330AF" w:rsidRPr="00A330AF" w:rsidRDefault="00A330AF" w:rsidP="05D4E367">
            <w:pPr>
              <w:rPr>
                <w:rFonts w:cs="Arial"/>
                <w:sz w:val="24"/>
                <w:szCs w:val="24"/>
              </w:rPr>
            </w:pPr>
          </w:p>
        </w:tc>
        <w:tc>
          <w:tcPr>
            <w:tcW w:w="9958" w:type="dxa"/>
            <w:gridSpan w:val="3"/>
          </w:tcPr>
          <w:p w:rsidR="00A330AF" w:rsidRPr="00A330AF" w:rsidRDefault="00A330AF" w:rsidP="0010507C">
            <w:pPr>
              <w:rPr>
                <w:rFonts w:cs="Arial"/>
                <w:sz w:val="24"/>
                <w:szCs w:val="24"/>
              </w:rPr>
            </w:pPr>
            <w:r w:rsidRPr="00A330AF">
              <w:rPr>
                <w:rFonts w:cs="Arial"/>
                <w:sz w:val="24"/>
                <w:szCs w:val="24"/>
              </w:rPr>
              <w:t xml:space="preserve">The governing body is committed to ensuring that legislative and contractual requirements are met in the handling of all cases.  To this end individual cases will be managed in accordance with the procedures for handling absence defined within the </w:t>
            </w:r>
            <w:r w:rsidRPr="00A330AF">
              <w:rPr>
                <w:rFonts w:cs="Arial"/>
                <w:i/>
                <w:iCs/>
                <w:sz w:val="24"/>
                <w:szCs w:val="24"/>
              </w:rPr>
              <w:t>Manual of Personnel Practice</w:t>
            </w:r>
            <w:r w:rsidRPr="00A330AF">
              <w:rPr>
                <w:rFonts w:cs="Arial"/>
                <w:sz w:val="24"/>
                <w:szCs w:val="24"/>
              </w:rPr>
              <w:t xml:space="preserve"> which has been adopted by the governing body.</w:t>
            </w:r>
          </w:p>
        </w:tc>
      </w:tr>
      <w:tr w:rsidR="00A330AF" w:rsidRPr="00A330AF" w:rsidTr="734F0B5B">
        <w:tc>
          <w:tcPr>
            <w:tcW w:w="428" w:type="dxa"/>
            <w:gridSpan w:val="2"/>
          </w:tcPr>
          <w:p w:rsidR="00A330AF" w:rsidRPr="00A330AF" w:rsidRDefault="00A330AF" w:rsidP="0010507C">
            <w:pPr>
              <w:rPr>
                <w:rFonts w:cs="Arial"/>
                <w:b/>
                <w:bCs/>
                <w:sz w:val="24"/>
                <w:szCs w:val="24"/>
              </w:rPr>
            </w:pPr>
            <w:r w:rsidRPr="00A330AF">
              <w:rPr>
                <w:rFonts w:cs="Arial"/>
                <w:b/>
                <w:bCs/>
                <w:sz w:val="24"/>
                <w:szCs w:val="24"/>
              </w:rPr>
              <w:t>4.</w:t>
            </w:r>
          </w:p>
        </w:tc>
        <w:tc>
          <w:tcPr>
            <w:tcW w:w="9958" w:type="dxa"/>
            <w:gridSpan w:val="3"/>
          </w:tcPr>
          <w:p w:rsidR="00A330AF" w:rsidRPr="00A330AF" w:rsidRDefault="00A330AF" w:rsidP="0010507C">
            <w:pPr>
              <w:pStyle w:val="Heading2"/>
              <w:rPr>
                <w:rFonts w:asciiTheme="minorHAnsi" w:hAnsiTheme="minorHAnsi" w:cs="Arial"/>
                <w:sz w:val="24"/>
              </w:rPr>
            </w:pPr>
            <w:r w:rsidRPr="00A330AF">
              <w:rPr>
                <w:rFonts w:asciiTheme="minorHAnsi" w:hAnsiTheme="minorHAnsi" w:cs="Arial"/>
                <w:sz w:val="24"/>
              </w:rPr>
              <w:t>Proactive and positive measures</w:t>
            </w:r>
          </w:p>
        </w:tc>
      </w:tr>
      <w:tr w:rsidR="00A330AF" w:rsidRPr="00A330AF" w:rsidTr="734F0B5B">
        <w:tc>
          <w:tcPr>
            <w:tcW w:w="428" w:type="dxa"/>
            <w:gridSpan w:val="2"/>
          </w:tcPr>
          <w:p w:rsidR="00A330AF" w:rsidRPr="00A330AF" w:rsidRDefault="00A330AF" w:rsidP="0010507C">
            <w:pPr>
              <w:rPr>
                <w:rFonts w:cs="Arial"/>
                <w:b/>
                <w:bCs/>
                <w:sz w:val="24"/>
                <w:szCs w:val="24"/>
              </w:rPr>
            </w:pPr>
          </w:p>
        </w:tc>
        <w:tc>
          <w:tcPr>
            <w:tcW w:w="9958" w:type="dxa"/>
            <w:gridSpan w:val="3"/>
          </w:tcPr>
          <w:p w:rsidR="00A330AF" w:rsidRPr="00A330AF" w:rsidRDefault="00A330AF" w:rsidP="00423F40">
            <w:pPr>
              <w:rPr>
                <w:rFonts w:cs="Arial"/>
                <w:sz w:val="24"/>
                <w:szCs w:val="24"/>
              </w:rPr>
            </w:pPr>
            <w:r w:rsidRPr="00A330AF">
              <w:rPr>
                <w:rFonts w:cs="Arial"/>
                <w:sz w:val="24"/>
                <w:szCs w:val="24"/>
              </w:rPr>
              <w:t xml:space="preserve">The governing body is committed to creating a working environment which encourages and supports the attendance of all staff. </w:t>
            </w:r>
            <w:r w:rsidR="00423F40">
              <w:rPr>
                <w:rFonts w:cs="Arial"/>
                <w:sz w:val="24"/>
                <w:szCs w:val="24"/>
              </w:rPr>
              <w:t xml:space="preserve"> The following processes are in place.</w:t>
            </w:r>
          </w:p>
        </w:tc>
      </w:tr>
      <w:tr w:rsidR="00A330AF" w:rsidRPr="00A330AF" w:rsidTr="734F0B5B">
        <w:tc>
          <w:tcPr>
            <w:tcW w:w="428" w:type="dxa"/>
            <w:gridSpan w:val="2"/>
          </w:tcPr>
          <w:p w:rsidR="00A330AF" w:rsidRPr="00A330AF" w:rsidRDefault="00A330AF" w:rsidP="0010507C">
            <w:pPr>
              <w:rPr>
                <w:rFonts w:cs="Arial"/>
                <w:b/>
                <w:bCs/>
                <w:sz w:val="24"/>
                <w:szCs w:val="24"/>
              </w:rPr>
            </w:pPr>
          </w:p>
        </w:tc>
        <w:tc>
          <w:tcPr>
            <w:tcW w:w="9958" w:type="dxa"/>
            <w:gridSpan w:val="3"/>
          </w:tcPr>
          <w:p w:rsidR="00A330AF" w:rsidRPr="00A330AF" w:rsidRDefault="00A330AF" w:rsidP="00A330AF">
            <w:pPr>
              <w:numPr>
                <w:ilvl w:val="0"/>
                <w:numId w:val="13"/>
              </w:numPr>
              <w:spacing w:after="0" w:line="240" w:lineRule="auto"/>
              <w:rPr>
                <w:rFonts w:cs="Arial"/>
                <w:sz w:val="24"/>
                <w:szCs w:val="24"/>
              </w:rPr>
            </w:pPr>
            <w:r w:rsidRPr="05D4E367">
              <w:rPr>
                <w:rFonts w:cs="Arial"/>
                <w:sz w:val="24"/>
                <w:szCs w:val="24"/>
              </w:rPr>
              <w:t>effective use of pre-employment health checks</w:t>
            </w:r>
          </w:p>
        </w:tc>
      </w:tr>
      <w:tr w:rsidR="00A330AF" w:rsidRPr="00A330AF" w:rsidTr="734F0B5B">
        <w:tc>
          <w:tcPr>
            <w:tcW w:w="428" w:type="dxa"/>
            <w:gridSpan w:val="2"/>
          </w:tcPr>
          <w:p w:rsidR="00A330AF" w:rsidRPr="00A330AF" w:rsidRDefault="00A330AF" w:rsidP="0010507C">
            <w:pPr>
              <w:rPr>
                <w:rFonts w:cs="Arial"/>
                <w:b/>
                <w:bCs/>
                <w:sz w:val="24"/>
                <w:szCs w:val="24"/>
              </w:rPr>
            </w:pPr>
          </w:p>
        </w:tc>
        <w:tc>
          <w:tcPr>
            <w:tcW w:w="9958" w:type="dxa"/>
            <w:gridSpan w:val="3"/>
          </w:tcPr>
          <w:p w:rsidR="00A330AF" w:rsidRPr="00A330AF" w:rsidRDefault="00A330AF">
            <w:pPr>
              <w:numPr>
                <w:ilvl w:val="0"/>
                <w:numId w:val="13"/>
              </w:numPr>
              <w:spacing w:after="0" w:line="240" w:lineRule="auto"/>
              <w:rPr>
                <w:rFonts w:eastAsiaTheme="minorEastAsia"/>
                <w:sz w:val="24"/>
                <w:szCs w:val="24"/>
              </w:rPr>
            </w:pPr>
            <w:proofErr w:type="gramStart"/>
            <w:r w:rsidRPr="05D4E367">
              <w:rPr>
                <w:rFonts w:cs="Arial"/>
                <w:sz w:val="24"/>
                <w:szCs w:val="24"/>
              </w:rPr>
              <w:t>encouraging</w:t>
            </w:r>
            <w:proofErr w:type="gramEnd"/>
            <w:r w:rsidRPr="05D4E367">
              <w:rPr>
                <w:rFonts w:cs="Arial"/>
                <w:sz w:val="24"/>
                <w:szCs w:val="24"/>
              </w:rPr>
              <w:t xml:space="preserve"> staff to make full and effective use of welfare and counselling services, such as the ‘Employee Support Line’.</w:t>
            </w:r>
          </w:p>
        </w:tc>
      </w:tr>
      <w:tr w:rsidR="00A330AF" w:rsidRPr="00A330AF" w:rsidTr="734F0B5B">
        <w:tc>
          <w:tcPr>
            <w:tcW w:w="428" w:type="dxa"/>
            <w:gridSpan w:val="2"/>
          </w:tcPr>
          <w:p w:rsidR="00A330AF" w:rsidRPr="00A330AF" w:rsidRDefault="00A330AF" w:rsidP="0010507C">
            <w:pPr>
              <w:rPr>
                <w:rFonts w:cs="Arial"/>
                <w:b/>
                <w:bCs/>
                <w:sz w:val="24"/>
                <w:szCs w:val="24"/>
              </w:rPr>
            </w:pPr>
          </w:p>
        </w:tc>
        <w:tc>
          <w:tcPr>
            <w:tcW w:w="9958" w:type="dxa"/>
            <w:gridSpan w:val="3"/>
          </w:tcPr>
          <w:p w:rsidR="00A330AF" w:rsidRPr="00A330AF" w:rsidRDefault="00A330AF" w:rsidP="00A330AF">
            <w:pPr>
              <w:numPr>
                <w:ilvl w:val="0"/>
                <w:numId w:val="13"/>
              </w:numPr>
              <w:spacing w:after="0" w:line="240" w:lineRule="auto"/>
              <w:rPr>
                <w:rFonts w:cs="Arial"/>
                <w:sz w:val="24"/>
                <w:szCs w:val="24"/>
              </w:rPr>
            </w:pPr>
            <w:r w:rsidRPr="05D4E367">
              <w:rPr>
                <w:rFonts w:cs="Arial"/>
                <w:sz w:val="24"/>
                <w:szCs w:val="24"/>
              </w:rPr>
              <w:t>undertaking to identify and deal with potential causes of stress in the workplace</w:t>
            </w:r>
          </w:p>
        </w:tc>
      </w:tr>
      <w:tr w:rsidR="00A330AF" w:rsidRPr="00A330AF" w:rsidTr="734F0B5B">
        <w:tc>
          <w:tcPr>
            <w:tcW w:w="428" w:type="dxa"/>
            <w:gridSpan w:val="2"/>
          </w:tcPr>
          <w:p w:rsidR="00A330AF" w:rsidRPr="00A330AF" w:rsidRDefault="00A330AF" w:rsidP="0010507C">
            <w:pPr>
              <w:rPr>
                <w:rFonts w:cs="Arial"/>
                <w:b/>
                <w:bCs/>
                <w:sz w:val="24"/>
                <w:szCs w:val="24"/>
              </w:rPr>
            </w:pPr>
          </w:p>
        </w:tc>
        <w:tc>
          <w:tcPr>
            <w:tcW w:w="9958" w:type="dxa"/>
            <w:gridSpan w:val="3"/>
          </w:tcPr>
          <w:p w:rsidR="00A330AF" w:rsidRPr="00A330AF" w:rsidRDefault="00A330AF" w:rsidP="00A330AF">
            <w:pPr>
              <w:numPr>
                <w:ilvl w:val="0"/>
                <w:numId w:val="13"/>
              </w:numPr>
              <w:spacing w:after="0" w:line="240" w:lineRule="auto"/>
              <w:rPr>
                <w:rFonts w:cs="Arial"/>
                <w:sz w:val="24"/>
                <w:szCs w:val="24"/>
              </w:rPr>
            </w:pPr>
            <w:r w:rsidRPr="05D4E367">
              <w:rPr>
                <w:rFonts w:cs="Arial"/>
                <w:sz w:val="24"/>
                <w:szCs w:val="24"/>
              </w:rPr>
              <w:t>reviewing working practices/environments with a view to identifying measures which could be taken to support attendance</w:t>
            </w:r>
          </w:p>
        </w:tc>
      </w:tr>
      <w:tr w:rsidR="00A330AF" w:rsidRPr="00A330AF" w:rsidTr="734F0B5B">
        <w:tc>
          <w:tcPr>
            <w:tcW w:w="428" w:type="dxa"/>
            <w:gridSpan w:val="2"/>
          </w:tcPr>
          <w:p w:rsidR="00A330AF" w:rsidRPr="00A330AF" w:rsidRDefault="00A330AF" w:rsidP="0010507C">
            <w:pPr>
              <w:rPr>
                <w:rFonts w:cs="Arial"/>
                <w:b/>
                <w:bCs/>
                <w:sz w:val="24"/>
                <w:szCs w:val="24"/>
              </w:rPr>
            </w:pPr>
          </w:p>
        </w:tc>
        <w:tc>
          <w:tcPr>
            <w:tcW w:w="9958" w:type="dxa"/>
            <w:gridSpan w:val="3"/>
          </w:tcPr>
          <w:p w:rsidR="00A330AF" w:rsidRPr="00A330AF" w:rsidRDefault="00A330AF" w:rsidP="00A330AF">
            <w:pPr>
              <w:numPr>
                <w:ilvl w:val="0"/>
                <w:numId w:val="13"/>
              </w:numPr>
              <w:spacing w:after="0" w:line="240" w:lineRule="auto"/>
              <w:rPr>
                <w:rFonts w:cs="Arial"/>
                <w:sz w:val="24"/>
                <w:szCs w:val="24"/>
              </w:rPr>
            </w:pPr>
            <w:r w:rsidRPr="05D4E367">
              <w:rPr>
                <w:rFonts w:cs="Arial"/>
                <w:sz w:val="24"/>
                <w:szCs w:val="24"/>
              </w:rPr>
              <w:t>ensuring effective application of policy regulating time off</w:t>
            </w:r>
          </w:p>
        </w:tc>
      </w:tr>
      <w:tr w:rsidR="00A330AF" w:rsidRPr="00A330AF" w:rsidTr="734F0B5B">
        <w:tc>
          <w:tcPr>
            <w:tcW w:w="428" w:type="dxa"/>
            <w:gridSpan w:val="2"/>
          </w:tcPr>
          <w:p w:rsidR="00A330AF" w:rsidRPr="00A330AF" w:rsidRDefault="00A330AF" w:rsidP="0010507C">
            <w:pPr>
              <w:rPr>
                <w:rFonts w:cs="Arial"/>
                <w:b/>
                <w:bCs/>
                <w:sz w:val="24"/>
                <w:szCs w:val="24"/>
              </w:rPr>
            </w:pPr>
          </w:p>
        </w:tc>
        <w:tc>
          <w:tcPr>
            <w:tcW w:w="9958" w:type="dxa"/>
            <w:gridSpan w:val="3"/>
          </w:tcPr>
          <w:p w:rsidR="00A330AF" w:rsidRDefault="00A330AF" w:rsidP="00A330AF">
            <w:pPr>
              <w:numPr>
                <w:ilvl w:val="0"/>
                <w:numId w:val="13"/>
              </w:numPr>
              <w:spacing w:after="0" w:line="240" w:lineRule="auto"/>
              <w:rPr>
                <w:rFonts w:cs="Arial"/>
                <w:sz w:val="24"/>
                <w:szCs w:val="24"/>
              </w:rPr>
            </w:pPr>
            <w:r w:rsidRPr="05D4E367">
              <w:rPr>
                <w:rFonts w:cs="Arial"/>
                <w:sz w:val="24"/>
                <w:szCs w:val="24"/>
              </w:rPr>
              <w:t>conducting exit interviews to identify (amongst other things) potential causes of absence and measures which could be utilised to further support attendance</w:t>
            </w:r>
          </w:p>
          <w:p w:rsidR="00A330AF" w:rsidRPr="00A330AF" w:rsidRDefault="00A330AF" w:rsidP="00A330AF">
            <w:pPr>
              <w:spacing w:after="0" w:line="240" w:lineRule="auto"/>
              <w:ind w:left="360"/>
              <w:rPr>
                <w:rFonts w:cs="Arial"/>
                <w:sz w:val="24"/>
                <w:szCs w:val="24"/>
              </w:rPr>
            </w:pPr>
          </w:p>
        </w:tc>
      </w:tr>
      <w:tr w:rsidR="00A330AF" w:rsidRPr="00A330AF" w:rsidTr="734F0B5B">
        <w:tc>
          <w:tcPr>
            <w:tcW w:w="472" w:type="dxa"/>
            <w:gridSpan w:val="3"/>
          </w:tcPr>
          <w:p w:rsidR="00A330AF" w:rsidRPr="00A330AF" w:rsidRDefault="00A330AF" w:rsidP="0010507C">
            <w:pPr>
              <w:rPr>
                <w:rFonts w:cs="Arial"/>
                <w:b/>
                <w:bCs/>
                <w:sz w:val="24"/>
                <w:szCs w:val="24"/>
              </w:rPr>
            </w:pPr>
            <w:r w:rsidRPr="00A330AF">
              <w:rPr>
                <w:rFonts w:cs="Arial"/>
                <w:sz w:val="24"/>
                <w:szCs w:val="24"/>
              </w:rPr>
              <w:br w:type="page"/>
            </w:r>
            <w:r w:rsidRPr="00A330AF">
              <w:rPr>
                <w:rFonts w:cs="Arial"/>
                <w:b/>
                <w:bCs/>
                <w:sz w:val="24"/>
                <w:szCs w:val="24"/>
              </w:rPr>
              <w:t>5.</w:t>
            </w:r>
          </w:p>
        </w:tc>
        <w:tc>
          <w:tcPr>
            <w:tcW w:w="9914" w:type="dxa"/>
            <w:gridSpan w:val="2"/>
          </w:tcPr>
          <w:p w:rsidR="00A330AF" w:rsidRPr="00A330AF" w:rsidRDefault="00A330AF" w:rsidP="0010507C">
            <w:pPr>
              <w:pStyle w:val="Heading2"/>
              <w:rPr>
                <w:rFonts w:asciiTheme="minorHAnsi" w:hAnsiTheme="minorHAnsi" w:cs="Arial"/>
                <w:sz w:val="24"/>
              </w:rPr>
            </w:pPr>
            <w:r w:rsidRPr="00A330AF">
              <w:rPr>
                <w:rFonts w:asciiTheme="minorHAnsi" w:hAnsiTheme="minorHAnsi" w:cs="Arial"/>
                <w:sz w:val="24"/>
              </w:rPr>
              <w:t>Forms of absence</w:t>
            </w:r>
          </w:p>
        </w:tc>
      </w:tr>
      <w:tr w:rsidR="00A330AF" w:rsidRPr="00A330AF" w:rsidTr="734F0B5B">
        <w:tc>
          <w:tcPr>
            <w:tcW w:w="472" w:type="dxa"/>
            <w:gridSpan w:val="3"/>
          </w:tcPr>
          <w:p w:rsidR="00A330AF" w:rsidRPr="00A330AF" w:rsidRDefault="00A330AF" w:rsidP="0010507C">
            <w:pPr>
              <w:rPr>
                <w:rFonts w:cs="Arial"/>
                <w:sz w:val="24"/>
                <w:szCs w:val="24"/>
              </w:rPr>
            </w:pPr>
          </w:p>
        </w:tc>
        <w:tc>
          <w:tcPr>
            <w:tcW w:w="9914" w:type="dxa"/>
            <w:gridSpan w:val="2"/>
          </w:tcPr>
          <w:p w:rsidR="00A330AF" w:rsidRPr="00A330AF" w:rsidRDefault="00A330AF" w:rsidP="0010507C">
            <w:pPr>
              <w:rPr>
                <w:rFonts w:cs="Arial"/>
                <w:sz w:val="24"/>
                <w:szCs w:val="24"/>
              </w:rPr>
            </w:pPr>
            <w:r w:rsidRPr="00A330AF">
              <w:rPr>
                <w:rFonts w:cs="Arial"/>
                <w:sz w:val="24"/>
                <w:szCs w:val="24"/>
              </w:rPr>
              <w:t>The governing body accepts the following definitions of absence:</w:t>
            </w:r>
          </w:p>
        </w:tc>
      </w:tr>
      <w:tr w:rsidR="00A330AF" w:rsidRPr="00A330AF" w:rsidTr="734F0B5B">
        <w:trPr>
          <w:gridBefore w:val="1"/>
          <w:wBefore w:w="402" w:type="dxa"/>
        </w:trPr>
        <w:tc>
          <w:tcPr>
            <w:tcW w:w="445" w:type="dxa"/>
            <w:gridSpan w:val="3"/>
          </w:tcPr>
          <w:p w:rsidR="00A330AF" w:rsidRPr="00A330AF" w:rsidRDefault="00A330AF" w:rsidP="0010507C">
            <w:pPr>
              <w:rPr>
                <w:rFonts w:cs="Arial"/>
                <w:sz w:val="24"/>
                <w:szCs w:val="24"/>
              </w:rPr>
            </w:pPr>
            <w:r w:rsidRPr="00A330AF">
              <w:rPr>
                <w:rFonts w:cs="Arial"/>
                <w:sz w:val="24"/>
                <w:szCs w:val="24"/>
              </w:rPr>
              <w:t>i.</w:t>
            </w:r>
          </w:p>
        </w:tc>
        <w:tc>
          <w:tcPr>
            <w:tcW w:w="9539" w:type="dxa"/>
          </w:tcPr>
          <w:p w:rsidR="00A330AF" w:rsidRPr="00A330AF" w:rsidRDefault="00A330AF" w:rsidP="0010507C">
            <w:pPr>
              <w:rPr>
                <w:rFonts w:cs="Arial"/>
                <w:sz w:val="24"/>
                <w:szCs w:val="24"/>
              </w:rPr>
            </w:pPr>
            <w:r w:rsidRPr="7B289417">
              <w:rPr>
                <w:rFonts w:cs="Arial"/>
                <w:b/>
                <w:bCs/>
                <w:i/>
                <w:iCs/>
                <w:sz w:val="24"/>
                <w:szCs w:val="24"/>
              </w:rPr>
              <w:t>Unauthorised absence:</w:t>
            </w:r>
            <w:r w:rsidRPr="7B289417">
              <w:rPr>
                <w:rFonts w:cs="Arial"/>
                <w:sz w:val="24"/>
                <w:szCs w:val="24"/>
              </w:rPr>
              <w:t xml:space="preserve"> occurs when the employee does not attend work at the place of employment at the required times and does not have prior management approval for their absence.  Unauthorised absence includes late attendance, prolonged breaks, taking annual leave without approval and taking sick leave without following the notification procedure.  Individual instances of unauthorised absence will be dealt with in accordance with the procedure defined in the </w:t>
            </w:r>
            <w:r w:rsidRPr="7B289417">
              <w:rPr>
                <w:rFonts w:cs="Arial"/>
                <w:i/>
                <w:iCs/>
                <w:sz w:val="24"/>
                <w:szCs w:val="24"/>
              </w:rPr>
              <w:t>Manual of Personnel Practice.</w:t>
            </w:r>
          </w:p>
        </w:tc>
      </w:tr>
      <w:tr w:rsidR="00A330AF" w:rsidRPr="00A330AF" w:rsidTr="734F0B5B">
        <w:trPr>
          <w:gridBefore w:val="1"/>
          <w:wBefore w:w="402" w:type="dxa"/>
        </w:trPr>
        <w:tc>
          <w:tcPr>
            <w:tcW w:w="445" w:type="dxa"/>
            <w:gridSpan w:val="3"/>
          </w:tcPr>
          <w:p w:rsidR="00A330AF" w:rsidRPr="00A330AF" w:rsidRDefault="00A330AF" w:rsidP="0010507C">
            <w:pPr>
              <w:rPr>
                <w:rFonts w:cs="Arial"/>
                <w:sz w:val="24"/>
                <w:szCs w:val="24"/>
              </w:rPr>
            </w:pPr>
            <w:r w:rsidRPr="00A330AF">
              <w:rPr>
                <w:rFonts w:cs="Arial"/>
                <w:sz w:val="24"/>
                <w:szCs w:val="24"/>
              </w:rPr>
              <w:t>ii.</w:t>
            </w:r>
          </w:p>
        </w:tc>
        <w:tc>
          <w:tcPr>
            <w:tcW w:w="9539" w:type="dxa"/>
          </w:tcPr>
          <w:p w:rsidR="00A330AF" w:rsidRPr="00A330AF" w:rsidRDefault="00A330AF" w:rsidP="0010507C">
            <w:pPr>
              <w:rPr>
                <w:rFonts w:cs="Arial"/>
                <w:sz w:val="24"/>
                <w:szCs w:val="24"/>
              </w:rPr>
            </w:pPr>
            <w:r w:rsidRPr="00A330AF">
              <w:rPr>
                <w:rFonts w:cs="Arial"/>
                <w:b/>
                <w:bCs/>
                <w:i/>
                <w:iCs/>
                <w:sz w:val="24"/>
                <w:szCs w:val="24"/>
              </w:rPr>
              <w:t xml:space="preserve">Authorised absence: </w:t>
            </w:r>
            <w:r w:rsidRPr="00A330AF">
              <w:rPr>
                <w:rFonts w:cs="Arial"/>
                <w:sz w:val="24"/>
                <w:szCs w:val="24"/>
              </w:rPr>
              <w:t xml:space="preserve">occurs when an employee does not attend work at the place of employment and has obtained prior management approval for their absence.  Authorised absence may arise from a statutory right (including statutory maternity leave), time off for public duties and time off for trade union duties/activities or a contractual entitlement (including annual leave, occupational maternity leave and paternity leave).  Authorised absence will be granted in accordance with employees’ statutory rights, contractual entitlements and the guidance contained in the </w:t>
            </w:r>
            <w:r w:rsidRPr="00A330AF">
              <w:rPr>
                <w:rFonts w:cs="Arial"/>
                <w:i/>
                <w:iCs/>
                <w:sz w:val="24"/>
                <w:szCs w:val="24"/>
              </w:rPr>
              <w:t>Manual of Personnel Practice</w:t>
            </w:r>
            <w:r w:rsidRPr="00A330AF">
              <w:rPr>
                <w:rFonts w:cs="Arial"/>
                <w:sz w:val="24"/>
                <w:szCs w:val="24"/>
              </w:rPr>
              <w:t xml:space="preserve"> concerning time off for miscellaneous purposes.</w:t>
            </w:r>
          </w:p>
        </w:tc>
      </w:tr>
      <w:tr w:rsidR="00A330AF" w:rsidRPr="00A330AF" w:rsidTr="734F0B5B">
        <w:trPr>
          <w:gridBefore w:val="1"/>
          <w:wBefore w:w="402" w:type="dxa"/>
        </w:trPr>
        <w:tc>
          <w:tcPr>
            <w:tcW w:w="445" w:type="dxa"/>
            <w:gridSpan w:val="3"/>
          </w:tcPr>
          <w:p w:rsidR="00A330AF" w:rsidRPr="00A330AF" w:rsidRDefault="00A330AF" w:rsidP="0010507C">
            <w:pPr>
              <w:rPr>
                <w:rFonts w:cs="Arial"/>
                <w:sz w:val="24"/>
                <w:szCs w:val="24"/>
              </w:rPr>
            </w:pPr>
            <w:r w:rsidRPr="00A330AF">
              <w:rPr>
                <w:rFonts w:cs="Arial"/>
                <w:sz w:val="24"/>
                <w:szCs w:val="24"/>
              </w:rPr>
              <w:t>iii.</w:t>
            </w:r>
          </w:p>
        </w:tc>
        <w:tc>
          <w:tcPr>
            <w:tcW w:w="9539" w:type="dxa"/>
          </w:tcPr>
          <w:p w:rsidR="00A330AF" w:rsidRPr="00A330AF" w:rsidRDefault="00A330AF" w:rsidP="0010507C">
            <w:pPr>
              <w:rPr>
                <w:rFonts w:cs="Arial"/>
                <w:sz w:val="24"/>
                <w:szCs w:val="24"/>
              </w:rPr>
            </w:pPr>
            <w:r w:rsidRPr="00A330AF">
              <w:rPr>
                <w:rFonts w:cs="Arial"/>
                <w:b/>
                <w:bCs/>
                <w:i/>
                <w:iCs/>
                <w:sz w:val="24"/>
                <w:szCs w:val="24"/>
              </w:rPr>
              <w:t xml:space="preserve">Sickness absence: </w:t>
            </w:r>
            <w:r w:rsidRPr="00A330AF">
              <w:rPr>
                <w:rFonts w:cs="Arial"/>
                <w:sz w:val="24"/>
                <w:szCs w:val="24"/>
              </w:rPr>
              <w:t>is regulated by employees’ contractual entitlements under the relevant conditions of services and is not normally authorised in advance.  The governing body accepts the following definitions of sickness absence:</w:t>
            </w:r>
          </w:p>
        </w:tc>
      </w:tr>
      <w:tr w:rsidR="00A330AF" w:rsidRPr="00A330AF" w:rsidTr="734F0B5B">
        <w:trPr>
          <w:gridBefore w:val="1"/>
          <w:wBefore w:w="402" w:type="dxa"/>
        </w:trPr>
        <w:tc>
          <w:tcPr>
            <w:tcW w:w="445" w:type="dxa"/>
            <w:gridSpan w:val="3"/>
          </w:tcPr>
          <w:p w:rsidR="00A330AF" w:rsidRPr="00A330AF" w:rsidRDefault="00A330AF" w:rsidP="0010507C">
            <w:pPr>
              <w:rPr>
                <w:rFonts w:cs="Arial"/>
                <w:sz w:val="24"/>
                <w:szCs w:val="24"/>
              </w:rPr>
            </w:pPr>
          </w:p>
        </w:tc>
        <w:tc>
          <w:tcPr>
            <w:tcW w:w="9539" w:type="dxa"/>
          </w:tcPr>
          <w:p w:rsidR="00A330AF" w:rsidRPr="00A330AF" w:rsidRDefault="00A330AF" w:rsidP="00A330AF">
            <w:pPr>
              <w:numPr>
                <w:ilvl w:val="0"/>
                <w:numId w:val="14"/>
              </w:numPr>
              <w:spacing w:after="0" w:line="240" w:lineRule="auto"/>
              <w:rPr>
                <w:rFonts w:cs="Arial"/>
                <w:sz w:val="24"/>
                <w:szCs w:val="24"/>
              </w:rPr>
            </w:pPr>
            <w:r w:rsidRPr="00A330AF">
              <w:rPr>
                <w:rFonts w:cs="Arial"/>
                <w:i/>
                <w:iCs/>
                <w:sz w:val="24"/>
                <w:szCs w:val="24"/>
              </w:rPr>
              <w:t xml:space="preserve">sporadic self-certificated absence – </w:t>
            </w:r>
            <w:r w:rsidRPr="00A330AF">
              <w:rPr>
                <w:rFonts w:cs="Arial"/>
                <w:sz w:val="24"/>
                <w:szCs w:val="24"/>
              </w:rPr>
              <w:t>occasional days’ absence (up to and including 7 calendar days in length) which is covered by the self-certification procedure</w:t>
            </w:r>
          </w:p>
        </w:tc>
      </w:tr>
      <w:tr w:rsidR="00A330AF" w:rsidRPr="00A330AF" w:rsidTr="734F0B5B">
        <w:trPr>
          <w:gridBefore w:val="1"/>
          <w:wBefore w:w="402" w:type="dxa"/>
        </w:trPr>
        <w:tc>
          <w:tcPr>
            <w:tcW w:w="445" w:type="dxa"/>
            <w:gridSpan w:val="3"/>
          </w:tcPr>
          <w:p w:rsidR="00A330AF" w:rsidRPr="00A330AF" w:rsidRDefault="00A330AF" w:rsidP="0010507C">
            <w:pPr>
              <w:rPr>
                <w:rFonts w:cs="Arial"/>
                <w:sz w:val="24"/>
                <w:szCs w:val="24"/>
              </w:rPr>
            </w:pPr>
          </w:p>
        </w:tc>
        <w:tc>
          <w:tcPr>
            <w:tcW w:w="9539" w:type="dxa"/>
          </w:tcPr>
          <w:p w:rsidR="00A330AF" w:rsidRPr="00A330AF" w:rsidRDefault="00A330AF" w:rsidP="00A330AF">
            <w:pPr>
              <w:numPr>
                <w:ilvl w:val="0"/>
                <w:numId w:val="14"/>
              </w:numPr>
              <w:spacing w:after="0" w:line="240" w:lineRule="auto"/>
              <w:rPr>
                <w:rFonts w:cs="Arial"/>
                <w:sz w:val="24"/>
                <w:szCs w:val="24"/>
              </w:rPr>
            </w:pPr>
            <w:proofErr w:type="gramStart"/>
            <w:r w:rsidRPr="00A330AF">
              <w:rPr>
                <w:rFonts w:cs="Arial"/>
                <w:i/>
                <w:iCs/>
                <w:sz w:val="24"/>
                <w:szCs w:val="24"/>
              </w:rPr>
              <w:t>short-term</w:t>
            </w:r>
            <w:proofErr w:type="gramEnd"/>
            <w:r w:rsidRPr="00A330AF">
              <w:rPr>
                <w:rFonts w:cs="Arial"/>
                <w:i/>
                <w:iCs/>
                <w:sz w:val="24"/>
                <w:szCs w:val="24"/>
              </w:rPr>
              <w:t xml:space="preserve"> certificated absence </w:t>
            </w:r>
            <w:r w:rsidRPr="00A330AF">
              <w:rPr>
                <w:rFonts w:cs="Arial"/>
                <w:sz w:val="24"/>
                <w:szCs w:val="24"/>
              </w:rPr>
              <w:t>– absence which exceeds 7 calendar days but is less than one month.  Absence of this nature requires a medical certificate from a registered medical practitioner</w:t>
            </w:r>
          </w:p>
        </w:tc>
      </w:tr>
      <w:tr w:rsidR="00A330AF" w:rsidRPr="00A330AF" w:rsidTr="734F0B5B">
        <w:trPr>
          <w:gridBefore w:val="1"/>
          <w:wBefore w:w="402" w:type="dxa"/>
        </w:trPr>
        <w:tc>
          <w:tcPr>
            <w:tcW w:w="445" w:type="dxa"/>
            <w:gridSpan w:val="3"/>
          </w:tcPr>
          <w:p w:rsidR="00A330AF" w:rsidRPr="00A330AF" w:rsidRDefault="00A330AF" w:rsidP="0010507C">
            <w:pPr>
              <w:rPr>
                <w:rFonts w:cs="Arial"/>
                <w:sz w:val="24"/>
                <w:szCs w:val="24"/>
              </w:rPr>
            </w:pPr>
          </w:p>
        </w:tc>
        <w:tc>
          <w:tcPr>
            <w:tcW w:w="9539" w:type="dxa"/>
          </w:tcPr>
          <w:p w:rsidR="00A330AF" w:rsidRPr="00A330AF" w:rsidRDefault="00A330AF" w:rsidP="00A330AF">
            <w:pPr>
              <w:numPr>
                <w:ilvl w:val="0"/>
                <w:numId w:val="14"/>
              </w:numPr>
              <w:spacing w:after="0" w:line="240" w:lineRule="auto"/>
              <w:rPr>
                <w:rFonts w:cs="Arial"/>
                <w:sz w:val="24"/>
                <w:szCs w:val="24"/>
              </w:rPr>
            </w:pPr>
            <w:proofErr w:type="gramStart"/>
            <w:r w:rsidRPr="00A330AF">
              <w:rPr>
                <w:rFonts w:cs="Arial"/>
                <w:i/>
                <w:iCs/>
                <w:sz w:val="24"/>
                <w:szCs w:val="24"/>
              </w:rPr>
              <w:t>long-term</w:t>
            </w:r>
            <w:proofErr w:type="gramEnd"/>
            <w:r w:rsidRPr="00A330AF">
              <w:rPr>
                <w:rFonts w:cs="Arial"/>
                <w:i/>
                <w:iCs/>
                <w:sz w:val="24"/>
                <w:szCs w:val="24"/>
              </w:rPr>
              <w:t xml:space="preserve"> certificated absence – </w:t>
            </w:r>
            <w:r w:rsidRPr="00A330AF">
              <w:rPr>
                <w:rFonts w:cs="Arial"/>
                <w:sz w:val="24"/>
                <w:szCs w:val="24"/>
              </w:rPr>
              <w:t>absence of one month or more.  Absence of this nature requires a medical certificate from a registered medical practitioner.  In certain circumstances the absence may also require medical suspension followed by medical clearance before the employee may return to work.</w:t>
            </w:r>
          </w:p>
        </w:tc>
      </w:tr>
      <w:tr w:rsidR="00A330AF" w:rsidRPr="00A330AF" w:rsidTr="734F0B5B">
        <w:trPr>
          <w:gridBefore w:val="1"/>
          <w:wBefore w:w="402" w:type="dxa"/>
        </w:trPr>
        <w:tc>
          <w:tcPr>
            <w:tcW w:w="9984" w:type="dxa"/>
            <w:gridSpan w:val="4"/>
          </w:tcPr>
          <w:p w:rsidR="00A330AF" w:rsidRPr="00A330AF" w:rsidRDefault="00A330AF" w:rsidP="0010507C">
            <w:pPr>
              <w:rPr>
                <w:rFonts w:cs="Arial"/>
                <w:i/>
                <w:iCs/>
                <w:sz w:val="24"/>
                <w:szCs w:val="24"/>
              </w:rPr>
            </w:pPr>
            <w:r w:rsidRPr="00A330AF">
              <w:rPr>
                <w:rFonts w:cs="Arial"/>
                <w:sz w:val="24"/>
                <w:szCs w:val="24"/>
              </w:rPr>
              <w:t xml:space="preserve">Sporadic and short-term absences which are repetitive in nature and long-term ill-health absence will be dealt with in accordance with the appropriate procedure defined within the </w:t>
            </w:r>
            <w:r w:rsidRPr="00A330AF">
              <w:rPr>
                <w:rFonts w:cs="Arial"/>
                <w:i/>
                <w:iCs/>
                <w:sz w:val="24"/>
                <w:szCs w:val="24"/>
              </w:rPr>
              <w:t>Manual of Personnel Practice.</w:t>
            </w:r>
          </w:p>
        </w:tc>
      </w:tr>
      <w:tr w:rsidR="00A330AF" w:rsidRPr="00A330AF" w:rsidTr="734F0B5B">
        <w:tc>
          <w:tcPr>
            <w:tcW w:w="402" w:type="dxa"/>
          </w:tcPr>
          <w:p w:rsidR="00A330AF" w:rsidRPr="00A330AF" w:rsidRDefault="00A330AF" w:rsidP="0010507C">
            <w:pPr>
              <w:rPr>
                <w:rFonts w:cs="Arial"/>
                <w:b/>
                <w:bCs/>
                <w:sz w:val="24"/>
                <w:szCs w:val="24"/>
              </w:rPr>
            </w:pPr>
            <w:r w:rsidRPr="00A330AF">
              <w:rPr>
                <w:rFonts w:cs="Arial"/>
                <w:b/>
                <w:bCs/>
                <w:sz w:val="24"/>
                <w:szCs w:val="24"/>
              </w:rPr>
              <w:t>6.</w:t>
            </w:r>
          </w:p>
        </w:tc>
        <w:tc>
          <w:tcPr>
            <w:tcW w:w="9984" w:type="dxa"/>
            <w:gridSpan w:val="4"/>
          </w:tcPr>
          <w:p w:rsidR="00A330AF" w:rsidRPr="00A330AF" w:rsidRDefault="00A330AF" w:rsidP="0010507C">
            <w:pPr>
              <w:pStyle w:val="Heading2"/>
              <w:rPr>
                <w:rFonts w:asciiTheme="minorHAnsi" w:hAnsiTheme="minorHAnsi" w:cs="Arial"/>
                <w:sz w:val="24"/>
              </w:rPr>
            </w:pPr>
            <w:r w:rsidRPr="00A330AF">
              <w:rPr>
                <w:rFonts w:asciiTheme="minorHAnsi" w:hAnsiTheme="minorHAnsi" w:cs="Arial"/>
                <w:sz w:val="24"/>
              </w:rPr>
              <w:t>Expectation of employees when they are absent from work</w:t>
            </w:r>
          </w:p>
        </w:tc>
      </w:tr>
      <w:tr w:rsidR="00A330AF" w:rsidRPr="00A330AF" w:rsidTr="734F0B5B">
        <w:tc>
          <w:tcPr>
            <w:tcW w:w="402" w:type="dxa"/>
          </w:tcPr>
          <w:p w:rsidR="00A330AF" w:rsidRPr="00A330AF" w:rsidRDefault="00A330AF" w:rsidP="0010507C">
            <w:pPr>
              <w:rPr>
                <w:rFonts w:cs="Arial"/>
                <w:b/>
                <w:bCs/>
                <w:sz w:val="24"/>
                <w:szCs w:val="24"/>
              </w:rPr>
            </w:pPr>
          </w:p>
        </w:tc>
        <w:tc>
          <w:tcPr>
            <w:tcW w:w="9984" w:type="dxa"/>
            <w:gridSpan w:val="4"/>
          </w:tcPr>
          <w:p w:rsidR="00A330AF" w:rsidRPr="00A330AF" w:rsidRDefault="00A330AF" w:rsidP="0010507C">
            <w:pPr>
              <w:rPr>
                <w:rFonts w:cs="Arial"/>
                <w:sz w:val="24"/>
                <w:szCs w:val="24"/>
              </w:rPr>
            </w:pPr>
            <w:r w:rsidRPr="504F3BB1">
              <w:rPr>
                <w:rFonts w:cs="Arial"/>
                <w:sz w:val="24"/>
                <w:szCs w:val="24"/>
              </w:rPr>
              <w:t>Generally, all employees are expected to obtain advance management approval for any period of absence.  It is inevitable, however, that absence required to deal with an unforeseen emergency (</w:t>
            </w:r>
            <w:r w:rsidRPr="504F3BB1" w:rsidDel="00A330AF">
              <w:rPr>
                <w:rFonts w:cs="Arial"/>
                <w:sz w:val="24"/>
                <w:szCs w:val="24"/>
              </w:rPr>
              <w:t>e.g</w:t>
            </w:r>
            <w:r w:rsidR="3F7D7ED8" w:rsidRPr="504F3BB1">
              <w:rPr>
                <w:rFonts w:cs="Arial"/>
                <w:sz w:val="24"/>
                <w:szCs w:val="24"/>
              </w:rPr>
              <w:t>.,</w:t>
            </w:r>
            <w:r w:rsidRPr="504F3BB1">
              <w:rPr>
                <w:rFonts w:cs="Arial"/>
                <w:sz w:val="24"/>
                <w:szCs w:val="24"/>
              </w:rPr>
              <w:t xml:space="preserve"> the illness of a dependant) and most instances of sickness absence will not be authorised in advance.  In these circumstances employees are expected to follow the agreed notification procedure, shown at </w:t>
            </w:r>
            <w:r w:rsidRPr="504F3BB1">
              <w:rPr>
                <w:rFonts w:cs="Arial"/>
                <w:i/>
                <w:iCs/>
                <w:sz w:val="24"/>
                <w:szCs w:val="24"/>
              </w:rPr>
              <w:t>Annex A</w:t>
            </w:r>
            <w:r w:rsidRPr="504F3BB1">
              <w:rPr>
                <w:rFonts w:cs="Arial"/>
                <w:sz w:val="24"/>
                <w:szCs w:val="24"/>
              </w:rPr>
              <w:t xml:space="preserve"> to this policy.</w:t>
            </w:r>
          </w:p>
        </w:tc>
      </w:tr>
      <w:tr w:rsidR="00A330AF" w:rsidRPr="00A330AF" w:rsidTr="734F0B5B">
        <w:tc>
          <w:tcPr>
            <w:tcW w:w="402" w:type="dxa"/>
          </w:tcPr>
          <w:p w:rsidR="00A330AF" w:rsidRPr="00A330AF" w:rsidRDefault="00A330AF" w:rsidP="0010507C">
            <w:pPr>
              <w:rPr>
                <w:rFonts w:cs="Arial"/>
                <w:b/>
                <w:bCs/>
                <w:sz w:val="24"/>
                <w:szCs w:val="24"/>
              </w:rPr>
            </w:pPr>
          </w:p>
        </w:tc>
        <w:tc>
          <w:tcPr>
            <w:tcW w:w="9984" w:type="dxa"/>
            <w:gridSpan w:val="4"/>
          </w:tcPr>
          <w:p w:rsidR="00A330AF" w:rsidRPr="00A330AF" w:rsidRDefault="00A330AF" w:rsidP="0010507C">
            <w:pPr>
              <w:rPr>
                <w:rFonts w:cs="Arial"/>
                <w:sz w:val="24"/>
                <w:szCs w:val="24"/>
              </w:rPr>
            </w:pPr>
            <w:r w:rsidRPr="504F3BB1">
              <w:rPr>
                <w:rFonts w:cs="Arial"/>
                <w:sz w:val="24"/>
                <w:szCs w:val="24"/>
              </w:rPr>
              <w:t xml:space="preserve">The school expects to maintain regular sensitive contact with employees who are absent from work due to illness.  This contact will be of a constructive and supportive nature and will normally seek agreement on the date and form of the next contact.  </w:t>
            </w:r>
            <w:r w:rsidR="1A497392" w:rsidRPr="504F3BB1">
              <w:rPr>
                <w:rFonts w:cs="Arial"/>
                <w:sz w:val="24"/>
                <w:szCs w:val="24"/>
              </w:rPr>
              <w:t>Usually,</w:t>
            </w:r>
            <w:r w:rsidRPr="504F3BB1">
              <w:rPr>
                <w:rFonts w:cs="Arial"/>
                <w:sz w:val="24"/>
                <w:szCs w:val="24"/>
              </w:rPr>
              <w:t xml:space="preserve"> it will be the appropriate line manager’s responsibility to maintain this contact although sometimes, with the agreement of the absent employee, this role may be delegated to another member of </w:t>
            </w:r>
            <w:r w:rsidR="706F3F0C" w:rsidRPr="504F3BB1">
              <w:rPr>
                <w:rFonts w:cs="Arial"/>
                <w:sz w:val="24"/>
                <w:szCs w:val="24"/>
              </w:rPr>
              <w:t>staff (</w:t>
            </w:r>
            <w:r w:rsidRPr="504F3BB1">
              <w:rPr>
                <w:rFonts w:cs="Arial"/>
                <w:sz w:val="24"/>
                <w:szCs w:val="24"/>
              </w:rPr>
              <w:t xml:space="preserve">see ‘Handling Absence Matters’ in </w:t>
            </w:r>
            <w:r w:rsidRPr="504F3BB1">
              <w:rPr>
                <w:rFonts w:cs="Arial"/>
                <w:i/>
                <w:iCs/>
                <w:sz w:val="24"/>
                <w:szCs w:val="24"/>
                <w:u w:val="single"/>
              </w:rPr>
              <w:t>Section 4</w:t>
            </w:r>
            <w:r w:rsidRPr="504F3BB1">
              <w:rPr>
                <w:rFonts w:cs="Arial"/>
                <w:sz w:val="24"/>
                <w:szCs w:val="24"/>
              </w:rPr>
              <w:t xml:space="preserve"> of the </w:t>
            </w:r>
            <w:r w:rsidRPr="504F3BB1">
              <w:rPr>
                <w:rFonts w:cs="Arial"/>
                <w:i/>
                <w:iCs/>
                <w:sz w:val="24"/>
                <w:szCs w:val="24"/>
              </w:rPr>
              <w:t>Manual of Personnel Practice).</w:t>
            </w:r>
          </w:p>
        </w:tc>
      </w:tr>
      <w:tr w:rsidR="00A330AF" w:rsidRPr="00A330AF" w:rsidTr="734F0B5B">
        <w:tc>
          <w:tcPr>
            <w:tcW w:w="402" w:type="dxa"/>
          </w:tcPr>
          <w:p w:rsidR="00A330AF" w:rsidRPr="00A330AF" w:rsidRDefault="00A330AF" w:rsidP="0010507C">
            <w:pPr>
              <w:rPr>
                <w:rFonts w:cs="Arial"/>
                <w:b/>
                <w:bCs/>
                <w:sz w:val="24"/>
                <w:szCs w:val="24"/>
              </w:rPr>
            </w:pPr>
          </w:p>
        </w:tc>
        <w:tc>
          <w:tcPr>
            <w:tcW w:w="9984" w:type="dxa"/>
            <w:gridSpan w:val="4"/>
          </w:tcPr>
          <w:p w:rsidR="00A330AF" w:rsidRPr="00A330AF" w:rsidRDefault="00A330AF" w:rsidP="0010507C">
            <w:pPr>
              <w:rPr>
                <w:rFonts w:cs="Arial"/>
                <w:sz w:val="24"/>
                <w:szCs w:val="24"/>
              </w:rPr>
            </w:pPr>
            <w:r w:rsidRPr="00A330AF">
              <w:rPr>
                <w:rFonts w:cs="Arial"/>
                <w:sz w:val="24"/>
                <w:szCs w:val="24"/>
              </w:rPr>
              <w:t xml:space="preserve">The governing body cannot </w:t>
            </w:r>
            <w:r w:rsidR="003B7E59" w:rsidRPr="00A330AF">
              <w:rPr>
                <w:rFonts w:cs="Arial"/>
                <w:sz w:val="24"/>
                <w:szCs w:val="24"/>
              </w:rPr>
              <w:t>require and</w:t>
            </w:r>
            <w:r w:rsidRPr="00A330AF">
              <w:rPr>
                <w:rFonts w:cs="Arial"/>
                <w:sz w:val="24"/>
                <w:szCs w:val="24"/>
              </w:rPr>
              <w:t xml:space="preserve"> does not </w:t>
            </w:r>
            <w:r w:rsidR="00EE5A03" w:rsidRPr="00A330AF">
              <w:rPr>
                <w:rFonts w:cs="Arial"/>
                <w:sz w:val="24"/>
                <w:szCs w:val="24"/>
              </w:rPr>
              <w:t>expect</w:t>
            </w:r>
            <w:r w:rsidRPr="00A330AF">
              <w:rPr>
                <w:rFonts w:cs="Arial"/>
                <w:sz w:val="24"/>
                <w:szCs w:val="24"/>
              </w:rPr>
              <w:t xml:space="preserve"> staff to carry out official duties whilst off sick.</w:t>
            </w:r>
          </w:p>
        </w:tc>
      </w:tr>
      <w:tr w:rsidR="00A330AF" w:rsidRPr="00A330AF" w:rsidTr="734F0B5B">
        <w:tc>
          <w:tcPr>
            <w:tcW w:w="402" w:type="dxa"/>
          </w:tcPr>
          <w:p w:rsidR="00A330AF" w:rsidRPr="00A330AF" w:rsidRDefault="00A330AF" w:rsidP="0010507C">
            <w:pPr>
              <w:rPr>
                <w:rFonts w:cs="Arial"/>
                <w:b/>
                <w:bCs/>
                <w:sz w:val="24"/>
                <w:szCs w:val="24"/>
              </w:rPr>
            </w:pPr>
            <w:r w:rsidRPr="00A330AF">
              <w:rPr>
                <w:sz w:val="24"/>
                <w:szCs w:val="24"/>
              </w:rPr>
              <w:br w:type="page"/>
            </w:r>
            <w:r w:rsidRPr="00A330AF">
              <w:rPr>
                <w:rFonts w:cs="Arial"/>
                <w:b/>
                <w:bCs/>
                <w:sz w:val="24"/>
                <w:szCs w:val="24"/>
              </w:rPr>
              <w:t>7.</w:t>
            </w:r>
          </w:p>
        </w:tc>
        <w:tc>
          <w:tcPr>
            <w:tcW w:w="9984" w:type="dxa"/>
            <w:gridSpan w:val="4"/>
          </w:tcPr>
          <w:p w:rsidR="00A330AF" w:rsidRPr="00A330AF" w:rsidRDefault="00A330AF" w:rsidP="0010507C">
            <w:pPr>
              <w:rPr>
                <w:rFonts w:cs="Arial"/>
                <w:b/>
                <w:bCs/>
                <w:sz w:val="24"/>
                <w:szCs w:val="24"/>
              </w:rPr>
            </w:pPr>
            <w:r w:rsidRPr="00A330AF">
              <w:rPr>
                <w:rFonts w:cs="Arial"/>
                <w:b/>
                <w:bCs/>
                <w:sz w:val="24"/>
                <w:szCs w:val="24"/>
              </w:rPr>
              <w:t>Supporting employees returning to work</w:t>
            </w:r>
          </w:p>
        </w:tc>
      </w:tr>
      <w:tr w:rsidR="00A330AF" w:rsidRPr="00A330AF" w:rsidTr="734F0B5B">
        <w:tc>
          <w:tcPr>
            <w:tcW w:w="402" w:type="dxa"/>
          </w:tcPr>
          <w:p w:rsidR="00A330AF" w:rsidRPr="00A330AF" w:rsidRDefault="00A330AF" w:rsidP="0010507C">
            <w:pPr>
              <w:rPr>
                <w:rFonts w:cs="Arial"/>
                <w:b/>
                <w:bCs/>
                <w:sz w:val="24"/>
                <w:szCs w:val="24"/>
              </w:rPr>
            </w:pPr>
          </w:p>
        </w:tc>
        <w:tc>
          <w:tcPr>
            <w:tcW w:w="9984" w:type="dxa"/>
            <w:gridSpan w:val="4"/>
          </w:tcPr>
          <w:p w:rsidR="00A330AF" w:rsidRPr="00A330AF" w:rsidRDefault="00A330AF" w:rsidP="0010507C">
            <w:pPr>
              <w:rPr>
                <w:rFonts w:cs="Arial"/>
                <w:sz w:val="24"/>
                <w:szCs w:val="24"/>
              </w:rPr>
            </w:pPr>
            <w:r w:rsidRPr="00A330AF">
              <w:rPr>
                <w:rFonts w:cs="Arial"/>
                <w:sz w:val="24"/>
                <w:szCs w:val="24"/>
              </w:rPr>
              <w:t>The governing body is committed to assisting all employees who are absent for reasons of ill-health, and particularly those who experience a period of long-term absence, to make a smooth and effective return to work when they are fit to do so.</w:t>
            </w:r>
          </w:p>
        </w:tc>
      </w:tr>
      <w:tr w:rsidR="00A330AF" w:rsidRPr="00A330AF" w:rsidTr="734F0B5B">
        <w:tc>
          <w:tcPr>
            <w:tcW w:w="402" w:type="dxa"/>
          </w:tcPr>
          <w:p w:rsidR="00A330AF" w:rsidRPr="00A330AF" w:rsidRDefault="00A330AF" w:rsidP="0010507C">
            <w:pPr>
              <w:rPr>
                <w:rFonts w:cs="Arial"/>
                <w:b/>
                <w:bCs/>
                <w:sz w:val="24"/>
                <w:szCs w:val="24"/>
              </w:rPr>
            </w:pPr>
          </w:p>
        </w:tc>
        <w:tc>
          <w:tcPr>
            <w:tcW w:w="9984" w:type="dxa"/>
            <w:gridSpan w:val="4"/>
          </w:tcPr>
          <w:p w:rsidR="00A330AF" w:rsidRPr="00A330AF" w:rsidRDefault="00A330AF" w:rsidP="0010507C">
            <w:pPr>
              <w:rPr>
                <w:rFonts w:cs="Arial"/>
                <w:sz w:val="24"/>
                <w:szCs w:val="24"/>
              </w:rPr>
            </w:pPr>
            <w:r w:rsidRPr="00A330AF">
              <w:rPr>
                <w:rFonts w:cs="Arial"/>
                <w:sz w:val="24"/>
                <w:szCs w:val="24"/>
              </w:rPr>
              <w:t>It is the governing body’s intention to apply the same principles to all staff, and accordingly on their return to work a member of staff will be supported by their line manager/Headteacher, whilst the return to work of the Headteacher will be supported by the County Education Officer or his representative.</w:t>
            </w:r>
          </w:p>
        </w:tc>
      </w:tr>
      <w:tr w:rsidR="00A330AF" w:rsidRPr="00A330AF" w:rsidTr="734F0B5B">
        <w:tc>
          <w:tcPr>
            <w:tcW w:w="402" w:type="dxa"/>
          </w:tcPr>
          <w:p w:rsidR="00A330AF" w:rsidRPr="00A330AF" w:rsidRDefault="00A330AF" w:rsidP="0010507C">
            <w:pPr>
              <w:rPr>
                <w:rFonts w:cs="Arial"/>
                <w:b/>
                <w:bCs/>
                <w:sz w:val="24"/>
                <w:szCs w:val="24"/>
              </w:rPr>
            </w:pPr>
          </w:p>
        </w:tc>
        <w:tc>
          <w:tcPr>
            <w:tcW w:w="9984" w:type="dxa"/>
            <w:gridSpan w:val="4"/>
          </w:tcPr>
          <w:p w:rsidR="00A330AF" w:rsidRPr="00A330AF" w:rsidRDefault="00A330AF" w:rsidP="0010507C">
            <w:pPr>
              <w:rPr>
                <w:rFonts w:cs="Arial"/>
                <w:sz w:val="24"/>
                <w:szCs w:val="24"/>
              </w:rPr>
            </w:pPr>
            <w:r w:rsidRPr="00A330AF">
              <w:rPr>
                <w:rFonts w:cs="Arial"/>
                <w:sz w:val="24"/>
                <w:szCs w:val="24"/>
              </w:rPr>
              <w:t>Where medical advice suggests this is necessary, the governing body will support an employee in making a phased return to work (initially on reduced hours/workload) where this will enable them to return to normal working within a reasonable period.</w:t>
            </w:r>
          </w:p>
        </w:tc>
      </w:tr>
      <w:tr w:rsidR="00A330AF" w:rsidRPr="00A330AF" w:rsidTr="734F0B5B">
        <w:tc>
          <w:tcPr>
            <w:tcW w:w="402" w:type="dxa"/>
          </w:tcPr>
          <w:p w:rsidR="00A330AF" w:rsidRPr="00A330AF" w:rsidRDefault="00A330AF" w:rsidP="0010507C">
            <w:pPr>
              <w:rPr>
                <w:rFonts w:cs="Arial"/>
                <w:b/>
                <w:bCs/>
                <w:sz w:val="24"/>
                <w:szCs w:val="24"/>
              </w:rPr>
            </w:pPr>
          </w:p>
        </w:tc>
        <w:tc>
          <w:tcPr>
            <w:tcW w:w="9984" w:type="dxa"/>
            <w:gridSpan w:val="4"/>
          </w:tcPr>
          <w:p w:rsidR="00A330AF" w:rsidRPr="00A330AF" w:rsidRDefault="00A330AF" w:rsidP="00AC0E1E">
            <w:pPr>
              <w:rPr>
                <w:rFonts w:cs="Arial"/>
                <w:sz w:val="24"/>
                <w:szCs w:val="24"/>
              </w:rPr>
            </w:pPr>
            <w:r w:rsidRPr="7B289417">
              <w:rPr>
                <w:rFonts w:cs="Arial"/>
                <w:sz w:val="24"/>
                <w:szCs w:val="24"/>
              </w:rPr>
              <w:t xml:space="preserve">With a view to supporting employees returning to work from any period of sickness absence, the governing body is committed to introducing a system of back-to-work interviews.  These interviews will be conducted by </w:t>
            </w:r>
            <w:proofErr w:type="gramStart"/>
            <w:r w:rsidRPr="7B289417">
              <w:rPr>
                <w:rFonts w:cs="Arial"/>
                <w:sz w:val="24"/>
                <w:szCs w:val="24"/>
              </w:rPr>
              <w:t>an</w:t>
            </w:r>
            <w:proofErr w:type="gramEnd"/>
            <w:r w:rsidRPr="7B289417">
              <w:rPr>
                <w:rFonts w:cs="Arial"/>
                <w:sz w:val="24"/>
                <w:szCs w:val="24"/>
              </w:rPr>
              <w:t xml:space="preserve"> </w:t>
            </w:r>
            <w:r w:rsidR="00AC0E1E" w:rsidRPr="7B289417">
              <w:rPr>
                <w:rFonts w:cs="Arial"/>
                <w:sz w:val="24"/>
                <w:szCs w:val="24"/>
              </w:rPr>
              <w:t xml:space="preserve">The HR </w:t>
            </w:r>
            <w:r w:rsidR="00AC0E1E" w:rsidRPr="734F0B5B">
              <w:rPr>
                <w:rFonts w:cs="Arial"/>
                <w:sz w:val="24"/>
                <w:szCs w:val="24"/>
              </w:rPr>
              <w:t>Officer</w:t>
            </w:r>
            <w:r w:rsidR="6097C38C" w:rsidRPr="7B289417">
              <w:rPr>
                <w:rFonts w:cs="Arial"/>
                <w:sz w:val="24"/>
                <w:szCs w:val="24"/>
              </w:rPr>
              <w:t xml:space="preserve"> </w:t>
            </w:r>
            <w:r w:rsidRPr="7B289417">
              <w:rPr>
                <w:rFonts w:cs="Arial"/>
                <w:sz w:val="24"/>
                <w:szCs w:val="24"/>
              </w:rPr>
              <w:t>where the employee has been absent up to 7 days.  For absences of 7 calendar days or more, these will be conducted by a member of</w:t>
            </w:r>
            <w:r w:rsidR="0A0D3D93" w:rsidRPr="7B289417">
              <w:rPr>
                <w:rFonts w:cs="Arial"/>
                <w:sz w:val="24"/>
                <w:szCs w:val="24"/>
              </w:rPr>
              <w:t xml:space="preserve"> the Senior Leadership Team</w:t>
            </w:r>
            <w:r w:rsidRPr="7B289417">
              <w:rPr>
                <w:rFonts w:cs="Arial"/>
                <w:sz w:val="24"/>
                <w:szCs w:val="24"/>
              </w:rPr>
              <w:t xml:space="preserve"> </w:t>
            </w:r>
            <w:r w:rsidR="66F43AF1" w:rsidRPr="7B289417">
              <w:rPr>
                <w:rFonts w:cs="Arial"/>
                <w:sz w:val="24"/>
                <w:szCs w:val="24"/>
              </w:rPr>
              <w:t>(</w:t>
            </w:r>
            <w:r w:rsidRPr="7B289417">
              <w:rPr>
                <w:rFonts w:cs="Arial"/>
                <w:sz w:val="24"/>
                <w:szCs w:val="24"/>
              </w:rPr>
              <w:t>SLT</w:t>
            </w:r>
            <w:r w:rsidR="1FF7D9DF" w:rsidRPr="7B289417">
              <w:rPr>
                <w:rFonts w:cs="Arial"/>
                <w:sz w:val="24"/>
                <w:szCs w:val="24"/>
              </w:rPr>
              <w:t>)</w:t>
            </w:r>
            <w:r w:rsidR="00AC0E1E" w:rsidRPr="7B289417">
              <w:rPr>
                <w:rFonts w:cs="Arial"/>
                <w:sz w:val="24"/>
                <w:szCs w:val="24"/>
              </w:rPr>
              <w:t xml:space="preserve"> alongside the HR </w:t>
            </w:r>
            <w:r w:rsidR="00C37F0C" w:rsidRPr="734F0B5B">
              <w:rPr>
                <w:rFonts w:cs="Arial"/>
                <w:sz w:val="24"/>
                <w:szCs w:val="24"/>
              </w:rPr>
              <w:t>Officer</w:t>
            </w:r>
            <w:r w:rsidRPr="734F0B5B">
              <w:rPr>
                <w:rFonts w:cs="Arial"/>
                <w:sz w:val="24"/>
                <w:szCs w:val="24"/>
              </w:rPr>
              <w:t>.</w:t>
            </w:r>
            <w:r w:rsidRPr="7B289417">
              <w:rPr>
                <w:rFonts w:cs="Arial"/>
                <w:sz w:val="24"/>
                <w:szCs w:val="24"/>
              </w:rPr>
              <w:t xml:space="preserve"> For absences of less than three days, there will be a responsibility on the line manager to check on the employee’s welfare.</w:t>
            </w:r>
          </w:p>
        </w:tc>
      </w:tr>
      <w:tr w:rsidR="00A330AF" w:rsidRPr="00A330AF" w:rsidTr="734F0B5B">
        <w:tc>
          <w:tcPr>
            <w:tcW w:w="402" w:type="dxa"/>
          </w:tcPr>
          <w:p w:rsidR="00A330AF" w:rsidRPr="00A330AF" w:rsidRDefault="00A330AF" w:rsidP="0010507C">
            <w:pPr>
              <w:rPr>
                <w:rFonts w:cs="Arial"/>
                <w:b/>
                <w:bCs/>
                <w:sz w:val="24"/>
                <w:szCs w:val="24"/>
              </w:rPr>
            </w:pPr>
          </w:p>
        </w:tc>
        <w:tc>
          <w:tcPr>
            <w:tcW w:w="9984" w:type="dxa"/>
            <w:gridSpan w:val="4"/>
          </w:tcPr>
          <w:p w:rsidR="00A330AF" w:rsidRPr="00A330AF" w:rsidRDefault="00A330AF" w:rsidP="00AC0E1E">
            <w:pPr>
              <w:rPr>
                <w:rFonts w:cs="Arial"/>
                <w:sz w:val="24"/>
                <w:szCs w:val="24"/>
              </w:rPr>
            </w:pPr>
            <w:r w:rsidRPr="7B289417">
              <w:rPr>
                <w:rFonts w:cs="Arial"/>
                <w:sz w:val="24"/>
                <w:szCs w:val="24"/>
              </w:rPr>
              <w:t>Back-to-work interviews will be conducted in a sensitive manner and will be focused upon facilitating the employee’s return to work and supporting future attendance.  Appropriate training/briefings will be provided for all employees and line managers before implementation.  The governing body is committed to the consistent application of the agreed system of interviews at all levels and for all employees within the school.</w:t>
            </w:r>
          </w:p>
        </w:tc>
      </w:tr>
      <w:tr w:rsidR="00A330AF" w:rsidRPr="00A330AF" w:rsidTr="734F0B5B">
        <w:tc>
          <w:tcPr>
            <w:tcW w:w="402" w:type="dxa"/>
          </w:tcPr>
          <w:p w:rsidR="00A330AF" w:rsidRPr="00A330AF" w:rsidRDefault="00A330AF" w:rsidP="0010507C">
            <w:pPr>
              <w:rPr>
                <w:rFonts w:cs="Arial"/>
                <w:b/>
                <w:bCs/>
                <w:sz w:val="24"/>
                <w:szCs w:val="24"/>
              </w:rPr>
            </w:pPr>
          </w:p>
        </w:tc>
        <w:tc>
          <w:tcPr>
            <w:tcW w:w="9984" w:type="dxa"/>
            <w:gridSpan w:val="4"/>
          </w:tcPr>
          <w:p w:rsidR="00A330AF" w:rsidRPr="00A330AF" w:rsidRDefault="00A330AF" w:rsidP="0010507C">
            <w:pPr>
              <w:rPr>
                <w:rFonts w:cs="Arial"/>
                <w:sz w:val="24"/>
                <w:szCs w:val="24"/>
              </w:rPr>
            </w:pPr>
            <w:r w:rsidRPr="7B289417">
              <w:rPr>
                <w:rFonts w:cs="Arial"/>
                <w:sz w:val="24"/>
                <w:szCs w:val="24"/>
              </w:rPr>
              <w:t xml:space="preserve">Following the introduction of back-to-work interviews, the governing body may decide to establish a pattern of specific benchmarks which will link specified levels of absence to key management actions. </w:t>
            </w:r>
            <w:r w:rsidR="195A447C" w:rsidRPr="7B289417">
              <w:rPr>
                <w:rFonts w:cs="Arial"/>
                <w:sz w:val="24"/>
                <w:szCs w:val="24"/>
              </w:rPr>
              <w:t xml:space="preserve"> </w:t>
            </w:r>
            <w:r w:rsidRPr="7B289417">
              <w:rPr>
                <w:rFonts w:cs="Arial"/>
                <w:sz w:val="24"/>
                <w:szCs w:val="24"/>
              </w:rPr>
              <w:t>Before establishing benchmarks</w:t>
            </w:r>
            <w:r w:rsidR="611BF5AE" w:rsidRPr="7B289417">
              <w:rPr>
                <w:rFonts w:cs="Arial"/>
                <w:sz w:val="24"/>
                <w:szCs w:val="24"/>
              </w:rPr>
              <w:t>,</w:t>
            </w:r>
            <w:r w:rsidRPr="7B289417">
              <w:rPr>
                <w:rFonts w:cs="Arial"/>
                <w:sz w:val="24"/>
                <w:szCs w:val="24"/>
              </w:rPr>
              <w:t xml:space="preserve"> the governing body will ensure full consultation with staff and their representatives.</w:t>
            </w:r>
          </w:p>
        </w:tc>
      </w:tr>
      <w:tr w:rsidR="00A330AF" w:rsidRPr="00A330AF" w:rsidTr="734F0B5B">
        <w:tc>
          <w:tcPr>
            <w:tcW w:w="402" w:type="dxa"/>
          </w:tcPr>
          <w:p w:rsidR="00A330AF" w:rsidRPr="00A330AF" w:rsidRDefault="00A330AF" w:rsidP="0010507C">
            <w:pPr>
              <w:rPr>
                <w:rFonts w:cs="Arial"/>
                <w:b/>
                <w:bCs/>
                <w:sz w:val="24"/>
                <w:szCs w:val="24"/>
              </w:rPr>
            </w:pPr>
            <w:r w:rsidRPr="00A330AF">
              <w:rPr>
                <w:rFonts w:cs="Arial"/>
                <w:b/>
                <w:bCs/>
                <w:sz w:val="24"/>
                <w:szCs w:val="24"/>
              </w:rPr>
              <w:t>8.</w:t>
            </w:r>
          </w:p>
        </w:tc>
        <w:tc>
          <w:tcPr>
            <w:tcW w:w="9984" w:type="dxa"/>
            <w:gridSpan w:val="4"/>
          </w:tcPr>
          <w:p w:rsidR="00A330AF" w:rsidRPr="00A330AF" w:rsidRDefault="00A330AF" w:rsidP="0010507C">
            <w:pPr>
              <w:rPr>
                <w:rFonts w:cs="Arial"/>
                <w:b/>
                <w:bCs/>
                <w:sz w:val="24"/>
                <w:szCs w:val="24"/>
              </w:rPr>
            </w:pPr>
            <w:r w:rsidRPr="00A330AF">
              <w:rPr>
                <w:rFonts w:cs="Arial"/>
                <w:b/>
                <w:bCs/>
                <w:sz w:val="24"/>
                <w:szCs w:val="24"/>
              </w:rPr>
              <w:t>Monitoring and reporting aims</w:t>
            </w:r>
          </w:p>
        </w:tc>
      </w:tr>
      <w:tr w:rsidR="00A330AF" w:rsidRPr="00A330AF" w:rsidTr="734F0B5B">
        <w:tc>
          <w:tcPr>
            <w:tcW w:w="402" w:type="dxa"/>
          </w:tcPr>
          <w:p w:rsidR="00A330AF" w:rsidRPr="00A330AF" w:rsidRDefault="00A330AF" w:rsidP="0010507C">
            <w:pPr>
              <w:rPr>
                <w:rFonts w:cs="Arial"/>
                <w:b/>
                <w:bCs/>
                <w:sz w:val="24"/>
                <w:szCs w:val="24"/>
              </w:rPr>
            </w:pPr>
          </w:p>
        </w:tc>
        <w:tc>
          <w:tcPr>
            <w:tcW w:w="9984" w:type="dxa"/>
            <w:gridSpan w:val="4"/>
          </w:tcPr>
          <w:p w:rsidR="00A330AF" w:rsidRPr="00A330AF" w:rsidRDefault="00A330AF" w:rsidP="0010507C">
            <w:pPr>
              <w:rPr>
                <w:rFonts w:cs="Arial"/>
                <w:sz w:val="24"/>
                <w:szCs w:val="24"/>
              </w:rPr>
            </w:pPr>
            <w:r w:rsidRPr="7B289417">
              <w:rPr>
                <w:rFonts w:cs="Arial"/>
                <w:sz w:val="24"/>
                <w:szCs w:val="24"/>
              </w:rPr>
              <w:t>The school will establish an effective system for the accurate recording of all types of absence.</w:t>
            </w:r>
            <w:r w:rsidR="008124EF" w:rsidRPr="7B289417">
              <w:rPr>
                <w:rFonts w:cs="Arial"/>
                <w:sz w:val="24"/>
                <w:szCs w:val="24"/>
              </w:rPr>
              <w:t xml:space="preserve"> </w:t>
            </w:r>
            <w:r w:rsidR="008124EF" w:rsidRPr="734F0B5B">
              <w:rPr>
                <w:rFonts w:cs="Arial"/>
                <w:sz w:val="24"/>
                <w:szCs w:val="24"/>
              </w:rPr>
              <w:t xml:space="preserve">The </w:t>
            </w:r>
            <w:r w:rsidR="4C8CEC88" w:rsidRPr="734F0B5B">
              <w:rPr>
                <w:rFonts w:cs="Arial"/>
                <w:sz w:val="24"/>
                <w:szCs w:val="24"/>
              </w:rPr>
              <w:t>HR Officer</w:t>
            </w:r>
            <w:r w:rsidR="008124EF" w:rsidRPr="7B289417">
              <w:rPr>
                <w:rFonts w:cs="Arial"/>
                <w:sz w:val="24"/>
                <w:szCs w:val="24"/>
              </w:rPr>
              <w:t xml:space="preserve"> will produce a monthly report for the Headteacher showing a count of sickness absences on a rolling </w:t>
            </w:r>
            <w:r w:rsidR="002E481B" w:rsidRPr="7B289417">
              <w:rPr>
                <w:rFonts w:cs="Arial"/>
                <w:sz w:val="24"/>
                <w:szCs w:val="24"/>
              </w:rPr>
              <w:t>12-month</w:t>
            </w:r>
            <w:r w:rsidR="008124EF" w:rsidRPr="7B289417">
              <w:rPr>
                <w:rFonts w:cs="Arial"/>
                <w:sz w:val="24"/>
                <w:szCs w:val="24"/>
              </w:rPr>
              <w:t xml:space="preserve"> period for all staff. Any concerns will be raised with the Governing Body on a termly </w:t>
            </w:r>
            <w:r w:rsidR="008E6D4B" w:rsidRPr="7B289417">
              <w:rPr>
                <w:rFonts w:cs="Arial"/>
                <w:sz w:val="24"/>
                <w:szCs w:val="24"/>
              </w:rPr>
              <w:t>basis and</w:t>
            </w:r>
            <w:r w:rsidR="008124EF" w:rsidRPr="7B289417">
              <w:rPr>
                <w:rFonts w:cs="Arial"/>
                <w:sz w:val="24"/>
                <w:szCs w:val="24"/>
              </w:rPr>
              <w:t xml:space="preserve"> will include a list of absence measures currently in place for staff. The absence management process used will be that set out under the </w:t>
            </w:r>
            <w:r w:rsidR="002E481B" w:rsidRPr="002E481B">
              <w:rPr>
                <w:rFonts w:cs="Arial"/>
                <w:i/>
                <w:iCs/>
                <w:sz w:val="24"/>
                <w:szCs w:val="24"/>
              </w:rPr>
              <w:t>Manual of Personnel Practice</w:t>
            </w:r>
            <w:r w:rsidR="008124EF" w:rsidRPr="7B289417">
              <w:rPr>
                <w:rFonts w:cs="Arial"/>
                <w:sz w:val="24"/>
                <w:szCs w:val="24"/>
              </w:rPr>
              <w:t>.</w:t>
            </w:r>
          </w:p>
        </w:tc>
      </w:tr>
      <w:tr w:rsidR="00A330AF" w:rsidRPr="00A330AF" w:rsidTr="734F0B5B">
        <w:tc>
          <w:tcPr>
            <w:tcW w:w="402" w:type="dxa"/>
          </w:tcPr>
          <w:p w:rsidR="00A330AF" w:rsidRPr="00A330AF" w:rsidRDefault="00A330AF" w:rsidP="0010507C">
            <w:pPr>
              <w:rPr>
                <w:rFonts w:cs="Arial"/>
                <w:b/>
                <w:bCs/>
                <w:sz w:val="24"/>
                <w:szCs w:val="24"/>
              </w:rPr>
            </w:pPr>
          </w:p>
        </w:tc>
        <w:tc>
          <w:tcPr>
            <w:tcW w:w="9984" w:type="dxa"/>
            <w:gridSpan w:val="4"/>
          </w:tcPr>
          <w:p w:rsidR="00A330AF" w:rsidRPr="00A330AF" w:rsidRDefault="00A330AF" w:rsidP="0010507C">
            <w:pPr>
              <w:rPr>
                <w:rFonts w:cs="Arial"/>
                <w:sz w:val="24"/>
                <w:szCs w:val="24"/>
              </w:rPr>
            </w:pPr>
          </w:p>
        </w:tc>
      </w:tr>
      <w:tr w:rsidR="00A330AF" w:rsidRPr="00A330AF" w:rsidTr="734F0B5B">
        <w:tc>
          <w:tcPr>
            <w:tcW w:w="402" w:type="dxa"/>
          </w:tcPr>
          <w:p w:rsidR="00A330AF" w:rsidRPr="00A330AF" w:rsidRDefault="00A330AF" w:rsidP="0010507C">
            <w:pPr>
              <w:rPr>
                <w:rFonts w:cs="Arial"/>
                <w:b/>
                <w:bCs/>
                <w:sz w:val="24"/>
                <w:szCs w:val="24"/>
              </w:rPr>
            </w:pPr>
          </w:p>
        </w:tc>
        <w:tc>
          <w:tcPr>
            <w:tcW w:w="9984" w:type="dxa"/>
            <w:gridSpan w:val="4"/>
          </w:tcPr>
          <w:p w:rsidR="00A330AF" w:rsidRPr="00A330AF" w:rsidRDefault="00A330AF" w:rsidP="0010507C">
            <w:pPr>
              <w:rPr>
                <w:rFonts w:cs="Arial"/>
                <w:sz w:val="24"/>
                <w:szCs w:val="24"/>
              </w:rPr>
            </w:pPr>
          </w:p>
        </w:tc>
      </w:tr>
      <w:tr w:rsidR="00A330AF" w:rsidRPr="00A330AF" w:rsidTr="734F0B5B">
        <w:tc>
          <w:tcPr>
            <w:tcW w:w="402" w:type="dxa"/>
          </w:tcPr>
          <w:p w:rsidR="00A330AF" w:rsidRDefault="00A330AF" w:rsidP="0010507C">
            <w:pPr>
              <w:rPr>
                <w:rFonts w:cs="Arial"/>
                <w:b/>
                <w:bCs/>
                <w:sz w:val="24"/>
                <w:szCs w:val="24"/>
              </w:rPr>
            </w:pPr>
          </w:p>
          <w:p w:rsidR="00C964D0" w:rsidRDefault="00C964D0" w:rsidP="0010507C">
            <w:pPr>
              <w:rPr>
                <w:rFonts w:cs="Arial"/>
                <w:b/>
                <w:bCs/>
                <w:sz w:val="24"/>
                <w:szCs w:val="24"/>
              </w:rPr>
            </w:pPr>
          </w:p>
          <w:p w:rsidR="00C964D0" w:rsidRDefault="00C964D0" w:rsidP="0010507C">
            <w:pPr>
              <w:rPr>
                <w:rFonts w:cs="Arial"/>
                <w:b/>
                <w:bCs/>
                <w:sz w:val="24"/>
                <w:szCs w:val="24"/>
              </w:rPr>
            </w:pPr>
          </w:p>
          <w:p w:rsidR="00C964D0" w:rsidRDefault="00C964D0" w:rsidP="0010507C">
            <w:pPr>
              <w:rPr>
                <w:rFonts w:cs="Arial"/>
                <w:b/>
                <w:bCs/>
                <w:sz w:val="24"/>
                <w:szCs w:val="24"/>
              </w:rPr>
            </w:pPr>
          </w:p>
          <w:p w:rsidR="00C964D0" w:rsidRDefault="00C964D0" w:rsidP="0010507C">
            <w:pPr>
              <w:rPr>
                <w:rFonts w:cs="Arial"/>
                <w:b/>
                <w:bCs/>
                <w:sz w:val="24"/>
                <w:szCs w:val="24"/>
              </w:rPr>
            </w:pPr>
            <w:r>
              <w:rPr>
                <w:rFonts w:cs="Arial"/>
                <w:b/>
                <w:bCs/>
                <w:sz w:val="24"/>
                <w:szCs w:val="24"/>
              </w:rPr>
              <w:t>9</w:t>
            </w:r>
          </w:p>
          <w:p w:rsidR="00C964D0" w:rsidRDefault="00C964D0" w:rsidP="0010507C">
            <w:pPr>
              <w:rPr>
                <w:rFonts w:cs="Arial"/>
                <w:b/>
                <w:bCs/>
                <w:sz w:val="24"/>
                <w:szCs w:val="24"/>
              </w:rPr>
            </w:pPr>
          </w:p>
          <w:p w:rsidR="00C964D0" w:rsidRDefault="00C964D0" w:rsidP="0010507C">
            <w:pPr>
              <w:rPr>
                <w:rFonts w:cs="Arial"/>
                <w:b/>
                <w:bCs/>
                <w:sz w:val="24"/>
                <w:szCs w:val="24"/>
              </w:rPr>
            </w:pPr>
          </w:p>
          <w:p w:rsidR="00C964D0" w:rsidRDefault="00C964D0" w:rsidP="0010507C">
            <w:pPr>
              <w:rPr>
                <w:rFonts w:cs="Arial"/>
                <w:b/>
                <w:bCs/>
                <w:sz w:val="24"/>
                <w:szCs w:val="24"/>
              </w:rPr>
            </w:pPr>
          </w:p>
          <w:p w:rsidR="00C964D0" w:rsidRPr="00A330AF" w:rsidRDefault="00C964D0" w:rsidP="0010507C">
            <w:pPr>
              <w:rPr>
                <w:rFonts w:cs="Arial"/>
                <w:b/>
                <w:bCs/>
                <w:sz w:val="24"/>
                <w:szCs w:val="24"/>
              </w:rPr>
            </w:pPr>
            <w:r>
              <w:rPr>
                <w:rFonts w:cs="Arial"/>
                <w:b/>
                <w:bCs/>
                <w:sz w:val="24"/>
                <w:szCs w:val="24"/>
              </w:rPr>
              <w:t>10</w:t>
            </w:r>
          </w:p>
        </w:tc>
        <w:tc>
          <w:tcPr>
            <w:tcW w:w="9984" w:type="dxa"/>
            <w:gridSpan w:val="4"/>
          </w:tcPr>
          <w:p w:rsidR="00CF73E4" w:rsidRDefault="00A330AF" w:rsidP="0010507C">
            <w:pPr>
              <w:rPr>
                <w:rFonts w:cs="Arial"/>
                <w:sz w:val="24"/>
                <w:szCs w:val="24"/>
              </w:rPr>
            </w:pPr>
            <w:r>
              <w:br/>
            </w:r>
          </w:p>
          <w:p w:rsidR="00CF73E4" w:rsidRPr="00AC0E1E" w:rsidRDefault="00CF73E4" w:rsidP="0010507C">
            <w:pPr>
              <w:rPr>
                <w:rFonts w:cs="Arial"/>
                <w:b/>
                <w:sz w:val="24"/>
                <w:szCs w:val="24"/>
              </w:rPr>
            </w:pPr>
            <w:r w:rsidRPr="00AC0E1E">
              <w:rPr>
                <w:rFonts w:cs="Arial"/>
                <w:b/>
                <w:sz w:val="24"/>
                <w:szCs w:val="24"/>
              </w:rPr>
              <w:t>Time off in Lieu (TOIL)</w:t>
            </w:r>
          </w:p>
          <w:p w:rsidR="00CF73E4" w:rsidRDefault="00CF73E4" w:rsidP="0010507C">
            <w:pPr>
              <w:rPr>
                <w:rFonts w:cs="Arial"/>
                <w:sz w:val="24"/>
                <w:szCs w:val="24"/>
              </w:rPr>
            </w:pPr>
            <w:r>
              <w:rPr>
                <w:rFonts w:cs="Arial"/>
                <w:sz w:val="24"/>
                <w:szCs w:val="24"/>
              </w:rPr>
              <w:t>TOIL</w:t>
            </w:r>
            <w:r w:rsidR="00C964D0">
              <w:rPr>
                <w:rFonts w:cs="Arial"/>
                <w:sz w:val="24"/>
                <w:szCs w:val="24"/>
              </w:rPr>
              <w:t xml:space="preserve"> should only be accrued with agreement from the employee’s line manager. No more than 37 hours TOIL can be accrued in one year. All TOIL accrued must be used before the end of the contractual year.</w:t>
            </w:r>
            <w:r w:rsidR="000B7712">
              <w:rPr>
                <w:rFonts w:cs="Arial"/>
                <w:sz w:val="24"/>
                <w:szCs w:val="24"/>
              </w:rPr>
              <w:t xml:space="preserve"> This broadly matches HCC’s corporate policy.</w:t>
            </w:r>
          </w:p>
          <w:p w:rsidR="00C964D0" w:rsidRDefault="00C964D0" w:rsidP="0010507C">
            <w:pPr>
              <w:rPr>
                <w:rFonts w:cs="Arial"/>
                <w:sz w:val="24"/>
                <w:szCs w:val="24"/>
              </w:rPr>
            </w:pPr>
          </w:p>
          <w:p w:rsidR="00C964D0" w:rsidRDefault="00C964D0" w:rsidP="0010507C">
            <w:pPr>
              <w:rPr>
                <w:rFonts w:cs="Arial"/>
                <w:b/>
                <w:sz w:val="24"/>
                <w:szCs w:val="24"/>
              </w:rPr>
            </w:pPr>
            <w:r w:rsidRPr="00AC0E1E">
              <w:rPr>
                <w:rFonts w:cs="Arial"/>
                <w:b/>
                <w:sz w:val="24"/>
                <w:szCs w:val="24"/>
              </w:rPr>
              <w:t>Annual leave rollover:</w:t>
            </w:r>
          </w:p>
          <w:p w:rsidR="00C964D0" w:rsidRPr="00C964D0" w:rsidRDefault="00C964D0" w:rsidP="0010507C">
            <w:pPr>
              <w:rPr>
                <w:rFonts w:cs="Arial"/>
                <w:sz w:val="24"/>
                <w:szCs w:val="24"/>
              </w:rPr>
            </w:pPr>
            <w:r>
              <w:rPr>
                <w:rFonts w:cs="Arial"/>
                <w:sz w:val="24"/>
                <w:szCs w:val="24"/>
              </w:rPr>
              <w:t>A Maximum of three days annual leave can be carried forward, and only with the written agreement of the employee’s line manager.</w:t>
            </w:r>
            <w:r w:rsidR="00581730">
              <w:rPr>
                <w:rFonts w:cs="Arial"/>
                <w:sz w:val="24"/>
                <w:szCs w:val="24"/>
              </w:rPr>
              <w:t xml:space="preserve"> This applies only to staff on </w:t>
            </w:r>
            <w:r w:rsidR="003126E3">
              <w:rPr>
                <w:rFonts w:cs="Arial"/>
                <w:sz w:val="24"/>
                <w:szCs w:val="24"/>
              </w:rPr>
              <w:t>52-week</w:t>
            </w:r>
            <w:r w:rsidR="00581730">
              <w:rPr>
                <w:rFonts w:cs="Arial"/>
                <w:sz w:val="24"/>
                <w:szCs w:val="24"/>
              </w:rPr>
              <w:t xml:space="preserve"> contracts.</w:t>
            </w:r>
          </w:p>
        </w:tc>
      </w:tr>
      <w:tr w:rsidR="00A330AF" w:rsidRPr="00A330AF" w:rsidTr="734F0B5B">
        <w:tc>
          <w:tcPr>
            <w:tcW w:w="402" w:type="dxa"/>
          </w:tcPr>
          <w:p w:rsidR="00A330AF" w:rsidRPr="00A330AF" w:rsidRDefault="00C964D0" w:rsidP="0010507C">
            <w:pPr>
              <w:rPr>
                <w:rFonts w:cs="Arial"/>
                <w:b/>
                <w:bCs/>
                <w:sz w:val="24"/>
                <w:szCs w:val="24"/>
              </w:rPr>
            </w:pPr>
            <w:r>
              <w:rPr>
                <w:rFonts w:cs="Arial"/>
                <w:b/>
                <w:bCs/>
                <w:sz w:val="24"/>
                <w:szCs w:val="24"/>
              </w:rPr>
              <w:t>11</w:t>
            </w:r>
            <w:r w:rsidR="00A330AF" w:rsidRPr="00A330AF">
              <w:rPr>
                <w:rFonts w:cs="Arial"/>
                <w:b/>
                <w:bCs/>
                <w:sz w:val="24"/>
                <w:szCs w:val="24"/>
              </w:rPr>
              <w:t>.</w:t>
            </w:r>
          </w:p>
        </w:tc>
        <w:tc>
          <w:tcPr>
            <w:tcW w:w="9984" w:type="dxa"/>
            <w:gridSpan w:val="4"/>
          </w:tcPr>
          <w:p w:rsidR="00A330AF" w:rsidRPr="00A330AF" w:rsidRDefault="00A330AF" w:rsidP="0010507C">
            <w:pPr>
              <w:pStyle w:val="Heading3"/>
              <w:rPr>
                <w:rFonts w:asciiTheme="minorHAnsi" w:hAnsiTheme="minorHAnsi" w:cs="Arial"/>
                <w:sz w:val="24"/>
              </w:rPr>
            </w:pPr>
            <w:r w:rsidRPr="00A330AF">
              <w:rPr>
                <w:rFonts w:asciiTheme="minorHAnsi" w:hAnsiTheme="minorHAnsi" w:cs="Arial"/>
                <w:sz w:val="24"/>
              </w:rPr>
              <w:t>Policy review and development</w:t>
            </w:r>
          </w:p>
        </w:tc>
      </w:tr>
      <w:tr w:rsidR="00A330AF" w:rsidRPr="00A330AF" w:rsidTr="734F0B5B">
        <w:tc>
          <w:tcPr>
            <w:tcW w:w="402" w:type="dxa"/>
          </w:tcPr>
          <w:p w:rsidR="00A330AF" w:rsidRPr="00A330AF" w:rsidRDefault="00A330AF" w:rsidP="0010507C">
            <w:pPr>
              <w:rPr>
                <w:rFonts w:cs="Arial"/>
                <w:b/>
                <w:bCs/>
                <w:sz w:val="24"/>
                <w:szCs w:val="24"/>
              </w:rPr>
            </w:pPr>
          </w:p>
        </w:tc>
        <w:tc>
          <w:tcPr>
            <w:tcW w:w="9984" w:type="dxa"/>
            <w:gridSpan w:val="4"/>
          </w:tcPr>
          <w:p w:rsidR="00A330AF" w:rsidRPr="00A330AF" w:rsidRDefault="00A330AF" w:rsidP="0010507C">
            <w:pPr>
              <w:rPr>
                <w:rFonts w:cs="Arial"/>
                <w:sz w:val="24"/>
                <w:szCs w:val="24"/>
              </w:rPr>
            </w:pPr>
            <w:r w:rsidRPr="00A330AF">
              <w:rPr>
                <w:rFonts w:cs="Arial"/>
                <w:sz w:val="24"/>
                <w:szCs w:val="24"/>
              </w:rPr>
              <w:t xml:space="preserve">This policy will be reviewed by the governing body on </w:t>
            </w:r>
            <w:r w:rsidR="00B117F3" w:rsidRPr="00A330AF">
              <w:rPr>
                <w:rFonts w:cs="Arial"/>
                <w:sz w:val="24"/>
                <w:szCs w:val="24"/>
              </w:rPr>
              <w:t>a</w:t>
            </w:r>
            <w:r w:rsidRPr="00A330AF">
              <w:rPr>
                <w:rFonts w:cs="Arial"/>
                <w:sz w:val="24"/>
                <w:szCs w:val="24"/>
              </w:rPr>
              <w:t xml:space="preserve"> </w:t>
            </w:r>
            <w:r w:rsidR="000B7712">
              <w:rPr>
                <w:rFonts w:cs="Arial"/>
                <w:sz w:val="24"/>
                <w:szCs w:val="24"/>
              </w:rPr>
              <w:t>bi-</w:t>
            </w:r>
            <w:r w:rsidRPr="00A330AF">
              <w:rPr>
                <w:rFonts w:cs="Arial"/>
                <w:sz w:val="24"/>
                <w:szCs w:val="24"/>
              </w:rPr>
              <w:t>annual basis.</w:t>
            </w:r>
          </w:p>
        </w:tc>
      </w:tr>
      <w:tr w:rsidR="00A330AF" w:rsidRPr="00A330AF" w:rsidTr="734F0B5B">
        <w:tc>
          <w:tcPr>
            <w:tcW w:w="402" w:type="dxa"/>
          </w:tcPr>
          <w:p w:rsidR="00A330AF" w:rsidRPr="00A330AF" w:rsidRDefault="00A330AF" w:rsidP="0010507C">
            <w:pPr>
              <w:rPr>
                <w:rFonts w:cs="Arial"/>
                <w:b/>
                <w:bCs/>
                <w:sz w:val="24"/>
                <w:szCs w:val="24"/>
              </w:rPr>
            </w:pPr>
          </w:p>
        </w:tc>
        <w:tc>
          <w:tcPr>
            <w:tcW w:w="9984" w:type="dxa"/>
            <w:gridSpan w:val="4"/>
          </w:tcPr>
          <w:p w:rsidR="00A330AF" w:rsidRPr="00A330AF" w:rsidRDefault="00A330AF" w:rsidP="0010507C">
            <w:pPr>
              <w:rPr>
                <w:rFonts w:cs="Arial"/>
                <w:sz w:val="24"/>
                <w:szCs w:val="24"/>
              </w:rPr>
            </w:pPr>
            <w:r w:rsidRPr="00A330AF">
              <w:rPr>
                <w:rFonts w:cs="Arial"/>
                <w:sz w:val="24"/>
                <w:szCs w:val="24"/>
              </w:rPr>
              <w:t>Staff will be invited to give feedback on the policy and to make suggestions for improvement.</w:t>
            </w:r>
          </w:p>
        </w:tc>
      </w:tr>
      <w:tr w:rsidR="00A330AF" w:rsidRPr="00A330AF" w:rsidTr="734F0B5B">
        <w:tc>
          <w:tcPr>
            <w:tcW w:w="402" w:type="dxa"/>
          </w:tcPr>
          <w:p w:rsidR="00A330AF" w:rsidRPr="00A330AF" w:rsidRDefault="00A330AF" w:rsidP="0010507C">
            <w:pPr>
              <w:rPr>
                <w:rFonts w:cs="Arial"/>
                <w:b/>
                <w:bCs/>
                <w:sz w:val="24"/>
                <w:szCs w:val="24"/>
              </w:rPr>
            </w:pPr>
          </w:p>
        </w:tc>
        <w:tc>
          <w:tcPr>
            <w:tcW w:w="9984" w:type="dxa"/>
            <w:gridSpan w:val="4"/>
          </w:tcPr>
          <w:p w:rsidR="00A330AF" w:rsidRPr="00A330AF" w:rsidRDefault="00A330AF" w:rsidP="0010507C">
            <w:pPr>
              <w:rPr>
                <w:rFonts w:cs="Arial"/>
                <w:sz w:val="24"/>
                <w:szCs w:val="24"/>
              </w:rPr>
            </w:pPr>
            <w:r w:rsidRPr="00A330AF">
              <w:rPr>
                <w:rFonts w:cs="Arial"/>
                <w:sz w:val="24"/>
                <w:szCs w:val="24"/>
              </w:rPr>
              <w:t>The governing body is committed to the involvement of staff in reviewing and developing this policy.</w:t>
            </w:r>
          </w:p>
        </w:tc>
      </w:tr>
    </w:tbl>
    <w:p w:rsidR="05D4E367" w:rsidRDefault="05D4E367"/>
    <w:p w:rsidR="00A330AF" w:rsidRDefault="00A330AF">
      <w:r>
        <w:br w:type="page"/>
      </w:r>
    </w:p>
    <w:tbl>
      <w:tblPr>
        <w:tblW w:w="10386" w:type="dxa"/>
        <w:tblInd w:w="-72" w:type="dxa"/>
        <w:tblLook w:val="0000" w:firstRow="0" w:lastRow="0" w:firstColumn="0" w:lastColumn="0" w:noHBand="0" w:noVBand="0"/>
      </w:tblPr>
      <w:tblGrid>
        <w:gridCol w:w="379"/>
        <w:gridCol w:w="23"/>
        <w:gridCol w:w="376"/>
        <w:gridCol w:w="28"/>
        <w:gridCol w:w="9580"/>
      </w:tblGrid>
      <w:tr w:rsidR="00A330AF" w:rsidRPr="00A330AF" w:rsidTr="7B289417">
        <w:trPr>
          <w:cantSplit/>
          <w:trHeight w:val="694"/>
        </w:trPr>
        <w:tc>
          <w:tcPr>
            <w:tcW w:w="10386" w:type="dxa"/>
            <w:gridSpan w:val="5"/>
            <w:tcBorders>
              <w:bottom w:val="nil"/>
            </w:tcBorders>
          </w:tcPr>
          <w:p w:rsidR="00A330AF" w:rsidRPr="00A330AF" w:rsidRDefault="00A330AF" w:rsidP="0010507C">
            <w:pPr>
              <w:pStyle w:val="Heading1"/>
              <w:rPr>
                <w:rFonts w:asciiTheme="minorHAnsi" w:hAnsiTheme="minorHAnsi" w:cs="Arial"/>
                <w:sz w:val="24"/>
              </w:rPr>
            </w:pPr>
            <w:r w:rsidRPr="00A330AF">
              <w:rPr>
                <w:rFonts w:asciiTheme="minorHAnsi" w:hAnsiTheme="minorHAnsi" w:cs="Arial"/>
                <w:sz w:val="24"/>
              </w:rPr>
              <w:t>ANNEX A</w:t>
            </w:r>
          </w:p>
          <w:p w:rsidR="00A330AF" w:rsidRPr="00A330AF" w:rsidRDefault="00A330AF" w:rsidP="0010507C">
            <w:pPr>
              <w:rPr>
                <w:rFonts w:cs="Arial"/>
                <w:b/>
                <w:bCs/>
                <w:sz w:val="24"/>
                <w:szCs w:val="24"/>
              </w:rPr>
            </w:pPr>
            <w:r w:rsidRPr="00A330AF">
              <w:rPr>
                <w:rFonts w:cs="Arial"/>
                <w:b/>
                <w:bCs/>
                <w:sz w:val="24"/>
                <w:szCs w:val="24"/>
                <w:u w:val="single"/>
              </w:rPr>
              <w:t>PROCEDURES – STAFF ABSENCE</w:t>
            </w:r>
          </w:p>
        </w:tc>
      </w:tr>
      <w:tr w:rsidR="00A330AF" w:rsidRPr="00A330AF" w:rsidTr="7B289417">
        <w:trPr>
          <w:cantSplit/>
        </w:trPr>
        <w:tc>
          <w:tcPr>
            <w:tcW w:w="10386" w:type="dxa"/>
            <w:gridSpan w:val="5"/>
          </w:tcPr>
          <w:p w:rsidR="00A330AF" w:rsidRPr="00A330AF" w:rsidRDefault="00A330AF" w:rsidP="0010507C">
            <w:pPr>
              <w:rPr>
                <w:rFonts w:cs="Arial"/>
                <w:sz w:val="24"/>
                <w:szCs w:val="24"/>
              </w:rPr>
            </w:pPr>
            <w:r w:rsidRPr="00A330AF">
              <w:rPr>
                <w:rFonts w:cs="Arial"/>
                <w:sz w:val="24"/>
                <w:szCs w:val="24"/>
              </w:rPr>
              <w:t xml:space="preserve">The governing body of Toynbee School is committed to ensuring that legislative and contractual requirements are met in the handling of all absence cases.  To this end individual cases will be managed in accordance with the procedures for handling absence defined within the </w:t>
            </w:r>
            <w:r w:rsidRPr="00A330AF">
              <w:rPr>
                <w:rFonts w:cs="Arial"/>
                <w:i/>
                <w:iCs/>
                <w:sz w:val="24"/>
                <w:szCs w:val="24"/>
              </w:rPr>
              <w:t>Manual of Personnel Practice</w:t>
            </w:r>
            <w:r w:rsidRPr="00A330AF">
              <w:rPr>
                <w:rFonts w:cs="Arial"/>
                <w:sz w:val="24"/>
                <w:szCs w:val="24"/>
              </w:rPr>
              <w:t>, which has been adopted by the governing body, full details can be found in the aforementioned manual.</w:t>
            </w:r>
          </w:p>
        </w:tc>
      </w:tr>
      <w:tr w:rsidR="00A330AF" w:rsidRPr="00A330AF" w:rsidTr="7B289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02" w:type="dxa"/>
        </w:trPr>
        <w:tc>
          <w:tcPr>
            <w:tcW w:w="404" w:type="dxa"/>
            <w:gridSpan w:val="2"/>
            <w:tcBorders>
              <w:top w:val="nil"/>
              <w:left w:val="nil"/>
              <w:bottom w:val="nil"/>
              <w:right w:val="nil"/>
            </w:tcBorders>
          </w:tcPr>
          <w:p w:rsidR="00A330AF" w:rsidRPr="00A330AF" w:rsidRDefault="00A330AF" w:rsidP="0010507C">
            <w:pPr>
              <w:rPr>
                <w:rFonts w:cs="Arial"/>
                <w:sz w:val="24"/>
                <w:szCs w:val="24"/>
              </w:rPr>
            </w:pPr>
            <w:r w:rsidRPr="00A330AF">
              <w:rPr>
                <w:rFonts w:cs="Arial"/>
                <w:sz w:val="24"/>
                <w:szCs w:val="24"/>
              </w:rPr>
              <w:t>1.</w:t>
            </w:r>
          </w:p>
        </w:tc>
        <w:tc>
          <w:tcPr>
            <w:tcW w:w="9580" w:type="dxa"/>
            <w:tcBorders>
              <w:top w:val="nil"/>
              <w:left w:val="nil"/>
              <w:bottom w:val="nil"/>
              <w:right w:val="nil"/>
            </w:tcBorders>
          </w:tcPr>
          <w:p w:rsidR="00A330AF" w:rsidRPr="00A330AF" w:rsidRDefault="00A330AF" w:rsidP="0010507C">
            <w:pPr>
              <w:rPr>
                <w:rFonts w:cs="Arial"/>
                <w:sz w:val="24"/>
                <w:szCs w:val="24"/>
              </w:rPr>
            </w:pPr>
            <w:r w:rsidRPr="00A330AF">
              <w:rPr>
                <w:rFonts w:cs="Arial"/>
                <w:sz w:val="24"/>
                <w:szCs w:val="24"/>
              </w:rPr>
              <w:t>Absentee or their representative to phone the Cover Manager/Deputy Headteacher or Headteacher by 7.30am on the first day of sickness or absence and to keep the school informed of absence.  Daily phone calls should then be made to school except where a doctor’s certificate is in operation.</w:t>
            </w:r>
          </w:p>
        </w:tc>
      </w:tr>
      <w:tr w:rsidR="00A330AF" w:rsidRPr="00A330AF" w:rsidTr="7B289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02" w:type="dxa"/>
        </w:trPr>
        <w:tc>
          <w:tcPr>
            <w:tcW w:w="404" w:type="dxa"/>
            <w:gridSpan w:val="2"/>
            <w:tcBorders>
              <w:top w:val="nil"/>
              <w:left w:val="nil"/>
              <w:bottom w:val="nil"/>
              <w:right w:val="nil"/>
            </w:tcBorders>
          </w:tcPr>
          <w:p w:rsidR="00A330AF" w:rsidRPr="00A330AF" w:rsidRDefault="00A330AF" w:rsidP="0010507C">
            <w:pPr>
              <w:rPr>
                <w:rFonts w:cs="Arial"/>
                <w:sz w:val="24"/>
                <w:szCs w:val="24"/>
              </w:rPr>
            </w:pPr>
            <w:r w:rsidRPr="00A330AF">
              <w:rPr>
                <w:rFonts w:cs="Arial"/>
                <w:sz w:val="24"/>
                <w:szCs w:val="24"/>
              </w:rPr>
              <w:t>2.</w:t>
            </w:r>
          </w:p>
        </w:tc>
        <w:tc>
          <w:tcPr>
            <w:tcW w:w="9580" w:type="dxa"/>
            <w:tcBorders>
              <w:top w:val="nil"/>
              <w:left w:val="nil"/>
              <w:bottom w:val="nil"/>
              <w:right w:val="nil"/>
            </w:tcBorders>
          </w:tcPr>
          <w:p w:rsidR="00A330AF" w:rsidRPr="00A330AF" w:rsidRDefault="00AC0E1E" w:rsidP="008124EF">
            <w:pPr>
              <w:rPr>
                <w:rFonts w:cs="Arial"/>
                <w:sz w:val="24"/>
                <w:szCs w:val="24"/>
              </w:rPr>
            </w:pPr>
            <w:r w:rsidRPr="7B289417">
              <w:rPr>
                <w:rFonts w:cs="Arial"/>
                <w:sz w:val="24"/>
                <w:szCs w:val="24"/>
              </w:rPr>
              <w:t>A brief reason for absence should be given to the Cover Manager so that the school can take early action on any significant issues.</w:t>
            </w:r>
          </w:p>
        </w:tc>
      </w:tr>
      <w:tr w:rsidR="00A330AF" w:rsidRPr="00A330AF" w:rsidTr="7B289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9" w:type="dxa"/>
        </w:trPr>
        <w:tc>
          <w:tcPr>
            <w:tcW w:w="399" w:type="dxa"/>
            <w:gridSpan w:val="2"/>
            <w:tcBorders>
              <w:top w:val="nil"/>
              <w:left w:val="nil"/>
              <w:bottom w:val="nil"/>
              <w:right w:val="nil"/>
            </w:tcBorders>
          </w:tcPr>
          <w:p w:rsidR="00A330AF" w:rsidRPr="00A330AF" w:rsidRDefault="00A330AF" w:rsidP="0010507C">
            <w:pPr>
              <w:rPr>
                <w:rFonts w:cs="Arial"/>
                <w:sz w:val="24"/>
                <w:szCs w:val="24"/>
              </w:rPr>
            </w:pPr>
            <w:r w:rsidRPr="00A330AF">
              <w:rPr>
                <w:rFonts w:cs="Arial"/>
                <w:sz w:val="24"/>
                <w:szCs w:val="24"/>
              </w:rPr>
              <w:t>3.</w:t>
            </w:r>
          </w:p>
        </w:tc>
        <w:tc>
          <w:tcPr>
            <w:tcW w:w="9608" w:type="dxa"/>
            <w:gridSpan w:val="2"/>
            <w:tcBorders>
              <w:top w:val="nil"/>
              <w:left w:val="nil"/>
              <w:bottom w:val="nil"/>
              <w:right w:val="nil"/>
            </w:tcBorders>
          </w:tcPr>
          <w:p w:rsidR="00A330AF" w:rsidRPr="00A330AF" w:rsidRDefault="00A330AF" w:rsidP="004F2A3E">
            <w:pPr>
              <w:rPr>
                <w:rFonts w:cs="Arial"/>
                <w:sz w:val="24"/>
                <w:szCs w:val="24"/>
              </w:rPr>
            </w:pPr>
            <w:r w:rsidRPr="00A330AF">
              <w:rPr>
                <w:rFonts w:cs="Arial"/>
                <w:sz w:val="24"/>
                <w:szCs w:val="24"/>
              </w:rPr>
              <w:t xml:space="preserve">After lengthy or habitual absence, </w:t>
            </w:r>
            <w:r w:rsidR="004F2A3E">
              <w:rPr>
                <w:rFonts w:cs="Arial"/>
                <w:sz w:val="24"/>
                <w:szCs w:val="24"/>
              </w:rPr>
              <w:t>SLT</w:t>
            </w:r>
            <w:r w:rsidRPr="00A330AF">
              <w:rPr>
                <w:rFonts w:cs="Arial"/>
                <w:sz w:val="24"/>
                <w:szCs w:val="24"/>
              </w:rPr>
              <w:t xml:space="preserve"> will refer the member of staff for assessment to Hampshire County Council’s Personnel Department and/or the Occupational Health Department.</w:t>
            </w:r>
          </w:p>
        </w:tc>
      </w:tr>
      <w:tr w:rsidR="00A330AF" w:rsidRPr="00A330AF" w:rsidTr="7B289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9" w:type="dxa"/>
        </w:trPr>
        <w:tc>
          <w:tcPr>
            <w:tcW w:w="399" w:type="dxa"/>
            <w:gridSpan w:val="2"/>
            <w:tcBorders>
              <w:top w:val="nil"/>
              <w:left w:val="nil"/>
              <w:bottom w:val="nil"/>
              <w:right w:val="nil"/>
            </w:tcBorders>
          </w:tcPr>
          <w:p w:rsidR="00A330AF" w:rsidRPr="00A330AF" w:rsidRDefault="00A330AF" w:rsidP="0010507C">
            <w:pPr>
              <w:rPr>
                <w:rFonts w:cs="Arial"/>
                <w:sz w:val="24"/>
                <w:szCs w:val="24"/>
              </w:rPr>
            </w:pPr>
            <w:r w:rsidRPr="00A330AF">
              <w:rPr>
                <w:rFonts w:cs="Arial"/>
                <w:sz w:val="24"/>
                <w:szCs w:val="24"/>
              </w:rPr>
              <w:t>4.</w:t>
            </w:r>
          </w:p>
        </w:tc>
        <w:tc>
          <w:tcPr>
            <w:tcW w:w="9608" w:type="dxa"/>
            <w:gridSpan w:val="2"/>
            <w:tcBorders>
              <w:top w:val="nil"/>
              <w:left w:val="nil"/>
              <w:bottom w:val="nil"/>
              <w:right w:val="nil"/>
            </w:tcBorders>
          </w:tcPr>
          <w:p w:rsidR="00A330AF" w:rsidRPr="00A330AF" w:rsidRDefault="00A330AF" w:rsidP="0010507C">
            <w:pPr>
              <w:rPr>
                <w:rFonts w:cs="Arial"/>
                <w:sz w:val="24"/>
                <w:szCs w:val="24"/>
              </w:rPr>
            </w:pPr>
            <w:r w:rsidRPr="00A330AF">
              <w:rPr>
                <w:rFonts w:cs="Arial"/>
                <w:sz w:val="24"/>
                <w:szCs w:val="24"/>
              </w:rPr>
              <w:t xml:space="preserve">Every effort should be made to make Doctor and Dental appointments before or after school time, only in an emergency can your attendance at these appointments during the school day be considered.  Hospital and consultant appointments will be honoured as these are not actually under your influence, but you should show an appointment card or letter to the headteacher or </w:t>
            </w:r>
            <w:r w:rsidR="004F2A3E">
              <w:rPr>
                <w:rFonts w:cs="Arial"/>
                <w:sz w:val="24"/>
                <w:szCs w:val="24"/>
              </w:rPr>
              <w:t>Cover Manager</w:t>
            </w:r>
            <w:r w:rsidRPr="00A330AF">
              <w:rPr>
                <w:rFonts w:cs="Arial"/>
                <w:sz w:val="24"/>
                <w:szCs w:val="24"/>
              </w:rPr>
              <w:t>.</w:t>
            </w:r>
          </w:p>
        </w:tc>
      </w:tr>
      <w:tr w:rsidR="00A330AF" w:rsidRPr="00A330AF" w:rsidTr="7B289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9" w:type="dxa"/>
        </w:trPr>
        <w:tc>
          <w:tcPr>
            <w:tcW w:w="399" w:type="dxa"/>
            <w:gridSpan w:val="2"/>
            <w:tcBorders>
              <w:top w:val="nil"/>
              <w:left w:val="nil"/>
              <w:bottom w:val="nil"/>
              <w:right w:val="nil"/>
            </w:tcBorders>
          </w:tcPr>
          <w:p w:rsidR="00A330AF" w:rsidRPr="00A330AF" w:rsidRDefault="00A330AF" w:rsidP="0010507C">
            <w:pPr>
              <w:rPr>
                <w:rFonts w:cs="Arial"/>
                <w:sz w:val="24"/>
                <w:szCs w:val="24"/>
              </w:rPr>
            </w:pPr>
            <w:r w:rsidRPr="00A330AF">
              <w:rPr>
                <w:rFonts w:cs="Arial"/>
                <w:sz w:val="24"/>
                <w:szCs w:val="24"/>
              </w:rPr>
              <w:t>5.</w:t>
            </w:r>
          </w:p>
        </w:tc>
        <w:tc>
          <w:tcPr>
            <w:tcW w:w="9608" w:type="dxa"/>
            <w:gridSpan w:val="2"/>
            <w:tcBorders>
              <w:top w:val="nil"/>
              <w:left w:val="nil"/>
              <w:bottom w:val="nil"/>
              <w:right w:val="nil"/>
            </w:tcBorders>
          </w:tcPr>
          <w:p w:rsidR="00A330AF" w:rsidRPr="00A330AF" w:rsidRDefault="00A330AF" w:rsidP="0010507C">
            <w:pPr>
              <w:rPr>
                <w:rFonts w:cs="Arial"/>
                <w:sz w:val="24"/>
                <w:szCs w:val="24"/>
              </w:rPr>
            </w:pPr>
            <w:r w:rsidRPr="00A330AF">
              <w:rPr>
                <w:rFonts w:cs="Arial"/>
                <w:sz w:val="24"/>
                <w:szCs w:val="24"/>
              </w:rPr>
              <w:t xml:space="preserve">Reasons for staff absence are detailed in the </w:t>
            </w:r>
            <w:r w:rsidRPr="00A330AF">
              <w:rPr>
                <w:rFonts w:cs="Arial"/>
                <w:i/>
                <w:iCs/>
                <w:sz w:val="24"/>
                <w:szCs w:val="24"/>
              </w:rPr>
              <w:t>Manual of Personnel Practice</w:t>
            </w:r>
            <w:r w:rsidRPr="00A330AF">
              <w:rPr>
                <w:rFonts w:cs="Arial"/>
                <w:sz w:val="24"/>
                <w:szCs w:val="24"/>
              </w:rPr>
              <w:t xml:space="preserve">.  This is available on request from the school office.  The governing body acknowledges the following authorised reasons for staff absence, prior approval of the </w:t>
            </w:r>
            <w:r w:rsidR="008124EF">
              <w:rPr>
                <w:rFonts w:cs="Arial"/>
                <w:sz w:val="24"/>
                <w:szCs w:val="24"/>
              </w:rPr>
              <w:t>H</w:t>
            </w:r>
            <w:r w:rsidRPr="00A330AF">
              <w:rPr>
                <w:rFonts w:cs="Arial"/>
                <w:sz w:val="24"/>
                <w:szCs w:val="24"/>
              </w:rPr>
              <w:t xml:space="preserve">eadteacher and Chair of Governors must be sought in writing for these absences, and where appropriate may be referred to the </w:t>
            </w:r>
            <w:r w:rsidR="004E6EB3">
              <w:rPr>
                <w:rFonts w:cs="Arial"/>
                <w:sz w:val="24"/>
                <w:szCs w:val="24"/>
              </w:rPr>
              <w:t>SLT</w:t>
            </w:r>
            <w:r w:rsidR="00282D4B" w:rsidRPr="00A330AF">
              <w:rPr>
                <w:rFonts w:cs="Arial"/>
                <w:sz w:val="24"/>
                <w:szCs w:val="24"/>
              </w:rPr>
              <w:t>: -</w:t>
            </w:r>
          </w:p>
        </w:tc>
      </w:tr>
      <w:tr w:rsidR="00A330AF" w:rsidRPr="00A330AF" w:rsidTr="7B289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9" w:type="dxa"/>
        </w:trPr>
        <w:tc>
          <w:tcPr>
            <w:tcW w:w="399" w:type="dxa"/>
            <w:gridSpan w:val="2"/>
            <w:tcBorders>
              <w:top w:val="nil"/>
              <w:left w:val="nil"/>
              <w:bottom w:val="nil"/>
              <w:right w:val="nil"/>
            </w:tcBorders>
          </w:tcPr>
          <w:p w:rsidR="00A330AF" w:rsidRPr="00A330AF" w:rsidRDefault="00A330AF" w:rsidP="0010507C">
            <w:pPr>
              <w:rPr>
                <w:rFonts w:cs="Arial"/>
                <w:sz w:val="24"/>
                <w:szCs w:val="24"/>
              </w:rPr>
            </w:pPr>
          </w:p>
        </w:tc>
        <w:tc>
          <w:tcPr>
            <w:tcW w:w="9608" w:type="dxa"/>
            <w:gridSpan w:val="2"/>
            <w:tcBorders>
              <w:top w:val="nil"/>
              <w:left w:val="nil"/>
              <w:bottom w:val="nil"/>
              <w:right w:val="nil"/>
            </w:tcBorders>
          </w:tcPr>
          <w:p w:rsidR="00A330AF" w:rsidRPr="00A330AF" w:rsidRDefault="00A330AF" w:rsidP="0010507C">
            <w:pPr>
              <w:rPr>
                <w:rFonts w:cs="Arial"/>
                <w:i/>
                <w:iCs/>
                <w:sz w:val="24"/>
                <w:szCs w:val="24"/>
              </w:rPr>
            </w:pPr>
            <w:proofErr w:type="gramStart"/>
            <w:r w:rsidRPr="00A330AF">
              <w:rPr>
                <w:rFonts w:cs="Arial"/>
                <w:sz w:val="24"/>
                <w:szCs w:val="24"/>
              </w:rPr>
              <w:t xml:space="preserve">i.  </w:t>
            </w:r>
            <w:r w:rsidRPr="00A330AF">
              <w:rPr>
                <w:rFonts w:cs="Arial"/>
                <w:sz w:val="24"/>
                <w:szCs w:val="24"/>
                <w:u w:val="single"/>
              </w:rPr>
              <w:t>Public</w:t>
            </w:r>
            <w:proofErr w:type="gramEnd"/>
            <w:r w:rsidRPr="00A330AF">
              <w:rPr>
                <w:rFonts w:cs="Arial"/>
                <w:sz w:val="24"/>
                <w:szCs w:val="24"/>
                <w:u w:val="single"/>
              </w:rPr>
              <w:t xml:space="preserve"> Duties and Leave for Professional Duties</w:t>
            </w:r>
            <w:r w:rsidRPr="00A330AF">
              <w:rPr>
                <w:rFonts w:cs="Arial"/>
                <w:sz w:val="24"/>
                <w:szCs w:val="24"/>
              </w:rPr>
              <w:t xml:space="preserve"> – can be assessed by </w:t>
            </w:r>
            <w:r w:rsidR="008124EF">
              <w:rPr>
                <w:rFonts w:cs="Arial"/>
                <w:sz w:val="24"/>
                <w:szCs w:val="24"/>
              </w:rPr>
              <w:t>H</w:t>
            </w:r>
            <w:r w:rsidRPr="00A330AF">
              <w:rPr>
                <w:rFonts w:cs="Arial"/>
                <w:sz w:val="24"/>
                <w:szCs w:val="24"/>
              </w:rPr>
              <w:t xml:space="preserve">eadteacher and Governing Body on particular circumstance, please refer to </w:t>
            </w:r>
            <w:r w:rsidRPr="00A330AF">
              <w:rPr>
                <w:rFonts w:cs="Arial"/>
                <w:i/>
                <w:iCs/>
                <w:sz w:val="24"/>
                <w:szCs w:val="24"/>
              </w:rPr>
              <w:t>Manual of Personnel Practice.</w:t>
            </w:r>
          </w:p>
        </w:tc>
      </w:tr>
      <w:tr w:rsidR="00A330AF" w:rsidRPr="00A330AF" w:rsidTr="7B289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9" w:type="dxa"/>
        </w:trPr>
        <w:tc>
          <w:tcPr>
            <w:tcW w:w="399" w:type="dxa"/>
            <w:gridSpan w:val="2"/>
            <w:tcBorders>
              <w:top w:val="nil"/>
              <w:left w:val="nil"/>
              <w:bottom w:val="nil"/>
              <w:right w:val="nil"/>
            </w:tcBorders>
          </w:tcPr>
          <w:p w:rsidR="00A330AF" w:rsidRPr="00A330AF" w:rsidRDefault="00A330AF" w:rsidP="0010507C">
            <w:pPr>
              <w:rPr>
                <w:rFonts w:cs="Arial"/>
                <w:sz w:val="24"/>
                <w:szCs w:val="24"/>
              </w:rPr>
            </w:pPr>
          </w:p>
        </w:tc>
        <w:tc>
          <w:tcPr>
            <w:tcW w:w="9608" w:type="dxa"/>
            <w:gridSpan w:val="2"/>
            <w:tcBorders>
              <w:top w:val="nil"/>
              <w:left w:val="nil"/>
              <w:bottom w:val="nil"/>
              <w:right w:val="nil"/>
            </w:tcBorders>
          </w:tcPr>
          <w:p w:rsidR="00A330AF" w:rsidRPr="00A330AF" w:rsidRDefault="00A330AF" w:rsidP="0010507C">
            <w:pPr>
              <w:rPr>
                <w:rFonts w:cs="Arial"/>
                <w:sz w:val="24"/>
                <w:szCs w:val="24"/>
              </w:rPr>
            </w:pPr>
            <w:r w:rsidRPr="00A330AF">
              <w:rPr>
                <w:rFonts w:cs="Arial"/>
                <w:sz w:val="24"/>
                <w:szCs w:val="24"/>
              </w:rPr>
              <w:t>ii</w:t>
            </w:r>
            <w:proofErr w:type="gramStart"/>
            <w:r w:rsidRPr="00A330AF">
              <w:rPr>
                <w:rFonts w:cs="Arial"/>
                <w:sz w:val="24"/>
                <w:szCs w:val="24"/>
              </w:rPr>
              <w:t xml:space="preserve">.  </w:t>
            </w:r>
            <w:r w:rsidRPr="00A330AF">
              <w:rPr>
                <w:rFonts w:cs="Arial"/>
                <w:sz w:val="24"/>
                <w:szCs w:val="24"/>
                <w:u w:val="single"/>
              </w:rPr>
              <w:t>Time</w:t>
            </w:r>
            <w:proofErr w:type="gramEnd"/>
            <w:r w:rsidRPr="00A330AF">
              <w:rPr>
                <w:rFonts w:cs="Arial"/>
                <w:sz w:val="24"/>
                <w:szCs w:val="24"/>
                <w:u w:val="single"/>
              </w:rPr>
              <w:t xml:space="preserve"> Off for Dependants</w:t>
            </w:r>
            <w:r w:rsidRPr="00A330AF">
              <w:rPr>
                <w:rFonts w:cs="Arial"/>
                <w:sz w:val="24"/>
                <w:szCs w:val="24"/>
              </w:rPr>
              <w:t xml:space="preserve"> – statutory entitlement in these circumstances is unpaid and is limited to that which is reasonable.  Reasonable time off must be judged on the particular circumstances, taking into account the need of the employee for time off and the operational requirements of the school.  Please refer to the </w:t>
            </w:r>
            <w:r w:rsidRPr="00A330AF">
              <w:rPr>
                <w:rFonts w:cs="Arial"/>
                <w:i/>
                <w:iCs/>
                <w:sz w:val="24"/>
                <w:szCs w:val="24"/>
              </w:rPr>
              <w:t>Manual of Personnel Practice.</w:t>
            </w:r>
          </w:p>
        </w:tc>
      </w:tr>
      <w:tr w:rsidR="00A330AF" w:rsidRPr="00A330AF" w:rsidTr="7B289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9" w:type="dxa"/>
        </w:trPr>
        <w:tc>
          <w:tcPr>
            <w:tcW w:w="399" w:type="dxa"/>
            <w:gridSpan w:val="2"/>
            <w:tcBorders>
              <w:top w:val="nil"/>
              <w:left w:val="nil"/>
              <w:bottom w:val="nil"/>
              <w:right w:val="nil"/>
            </w:tcBorders>
          </w:tcPr>
          <w:p w:rsidR="00A330AF" w:rsidRPr="00A330AF" w:rsidRDefault="00A330AF" w:rsidP="0010507C">
            <w:pPr>
              <w:rPr>
                <w:rFonts w:cs="Arial"/>
                <w:sz w:val="24"/>
                <w:szCs w:val="24"/>
              </w:rPr>
            </w:pPr>
          </w:p>
        </w:tc>
        <w:tc>
          <w:tcPr>
            <w:tcW w:w="9608" w:type="dxa"/>
            <w:gridSpan w:val="2"/>
            <w:tcBorders>
              <w:top w:val="nil"/>
              <w:left w:val="nil"/>
              <w:bottom w:val="nil"/>
              <w:right w:val="nil"/>
            </w:tcBorders>
          </w:tcPr>
          <w:p w:rsidR="00A330AF" w:rsidRPr="00A330AF" w:rsidRDefault="00A330AF" w:rsidP="008124EF">
            <w:pPr>
              <w:rPr>
                <w:rFonts w:cs="Arial"/>
                <w:sz w:val="24"/>
                <w:szCs w:val="24"/>
              </w:rPr>
            </w:pPr>
            <w:r w:rsidRPr="00A330AF">
              <w:rPr>
                <w:rFonts w:cs="Arial"/>
                <w:sz w:val="24"/>
                <w:szCs w:val="24"/>
              </w:rPr>
              <w:t>iii</w:t>
            </w:r>
            <w:proofErr w:type="gramStart"/>
            <w:r w:rsidRPr="00A330AF">
              <w:rPr>
                <w:rFonts w:cs="Arial"/>
                <w:sz w:val="24"/>
                <w:szCs w:val="24"/>
              </w:rPr>
              <w:t xml:space="preserve">.  </w:t>
            </w:r>
            <w:r w:rsidRPr="00A330AF">
              <w:rPr>
                <w:rFonts w:cs="Arial"/>
                <w:sz w:val="24"/>
                <w:szCs w:val="24"/>
                <w:u w:val="single"/>
              </w:rPr>
              <w:t>Death</w:t>
            </w:r>
            <w:proofErr w:type="gramEnd"/>
            <w:r w:rsidRPr="00A330AF">
              <w:rPr>
                <w:rFonts w:cs="Arial"/>
                <w:sz w:val="24"/>
                <w:szCs w:val="24"/>
                <w:u w:val="single"/>
              </w:rPr>
              <w:t xml:space="preserve"> or serious illness of a close relative</w:t>
            </w:r>
            <w:r w:rsidRPr="00A330AF">
              <w:rPr>
                <w:rFonts w:cs="Arial"/>
                <w:sz w:val="24"/>
                <w:szCs w:val="24"/>
              </w:rPr>
              <w:t xml:space="preserve"> – in this circumstance the </w:t>
            </w:r>
            <w:r w:rsidR="008124EF">
              <w:rPr>
                <w:rFonts w:cs="Arial"/>
                <w:sz w:val="24"/>
                <w:szCs w:val="24"/>
              </w:rPr>
              <w:t>H</w:t>
            </w:r>
            <w:r w:rsidRPr="00A330AF">
              <w:rPr>
                <w:rFonts w:cs="Arial"/>
                <w:sz w:val="24"/>
                <w:szCs w:val="24"/>
              </w:rPr>
              <w:t xml:space="preserve">eadteacher may authorise paid leave for a period of three days.  In exceptional circumstances leave may be extended by a further three days after approval by the </w:t>
            </w:r>
            <w:r w:rsidR="008124EF">
              <w:rPr>
                <w:rFonts w:cs="Arial"/>
                <w:sz w:val="24"/>
                <w:szCs w:val="24"/>
              </w:rPr>
              <w:t>H</w:t>
            </w:r>
            <w:r w:rsidRPr="00A330AF">
              <w:rPr>
                <w:rFonts w:cs="Arial"/>
                <w:sz w:val="24"/>
                <w:szCs w:val="24"/>
              </w:rPr>
              <w:t>eadteacher and Chair of Governors.  Should this period then need prolonging, some unpaid leave could be authorised, this would need to be reported to the full Governing Body.</w:t>
            </w:r>
          </w:p>
        </w:tc>
      </w:tr>
      <w:tr w:rsidR="00A330AF" w:rsidRPr="00A330AF" w:rsidTr="7B289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9" w:type="dxa"/>
        </w:trPr>
        <w:tc>
          <w:tcPr>
            <w:tcW w:w="399" w:type="dxa"/>
            <w:gridSpan w:val="2"/>
            <w:tcBorders>
              <w:top w:val="nil"/>
              <w:left w:val="nil"/>
              <w:bottom w:val="nil"/>
              <w:right w:val="nil"/>
            </w:tcBorders>
          </w:tcPr>
          <w:p w:rsidR="00A330AF" w:rsidRPr="00A330AF" w:rsidRDefault="00A330AF" w:rsidP="0010507C">
            <w:pPr>
              <w:rPr>
                <w:rFonts w:cs="Arial"/>
                <w:sz w:val="24"/>
                <w:szCs w:val="24"/>
              </w:rPr>
            </w:pPr>
          </w:p>
        </w:tc>
        <w:tc>
          <w:tcPr>
            <w:tcW w:w="9608" w:type="dxa"/>
            <w:gridSpan w:val="2"/>
            <w:tcBorders>
              <w:top w:val="nil"/>
              <w:left w:val="nil"/>
              <w:bottom w:val="nil"/>
              <w:right w:val="nil"/>
            </w:tcBorders>
          </w:tcPr>
          <w:p w:rsidR="00A330AF" w:rsidRPr="00A330AF" w:rsidRDefault="00A330AF" w:rsidP="0010507C">
            <w:pPr>
              <w:rPr>
                <w:rFonts w:cs="Arial"/>
                <w:sz w:val="24"/>
                <w:szCs w:val="24"/>
              </w:rPr>
            </w:pPr>
            <w:r w:rsidRPr="00A330AF">
              <w:rPr>
                <w:rFonts w:cs="Arial"/>
                <w:sz w:val="24"/>
                <w:szCs w:val="24"/>
              </w:rPr>
              <w:t>iv</w:t>
            </w:r>
            <w:proofErr w:type="gramStart"/>
            <w:r w:rsidRPr="00A330AF">
              <w:rPr>
                <w:rFonts w:cs="Arial"/>
                <w:sz w:val="24"/>
                <w:szCs w:val="24"/>
              </w:rPr>
              <w:t xml:space="preserve">.  </w:t>
            </w:r>
            <w:r w:rsidRPr="00A330AF">
              <w:rPr>
                <w:rFonts w:cs="Arial"/>
                <w:sz w:val="24"/>
                <w:szCs w:val="24"/>
                <w:u w:val="single"/>
              </w:rPr>
              <w:t>Non</w:t>
            </w:r>
            <w:proofErr w:type="gramEnd"/>
            <w:r w:rsidRPr="00A330AF">
              <w:rPr>
                <w:rFonts w:cs="Arial"/>
                <w:sz w:val="24"/>
                <w:szCs w:val="24"/>
                <w:u w:val="single"/>
              </w:rPr>
              <w:t>-serious illness of a relative</w:t>
            </w:r>
            <w:r w:rsidRPr="00A330AF">
              <w:rPr>
                <w:rFonts w:cs="Arial"/>
                <w:sz w:val="24"/>
                <w:szCs w:val="24"/>
              </w:rPr>
              <w:t xml:space="preserve"> – the </w:t>
            </w:r>
            <w:r w:rsidR="008124EF">
              <w:rPr>
                <w:rFonts w:cs="Arial"/>
                <w:sz w:val="24"/>
                <w:szCs w:val="24"/>
              </w:rPr>
              <w:t>H</w:t>
            </w:r>
            <w:r w:rsidRPr="00A330AF">
              <w:rPr>
                <w:rFonts w:cs="Arial"/>
                <w:sz w:val="24"/>
                <w:szCs w:val="24"/>
              </w:rPr>
              <w:t xml:space="preserve">eadteacher may authorise a maximum of one day, this leave will normally be without pay.  Further leave may be possible following approval and consultation with the </w:t>
            </w:r>
            <w:r w:rsidR="008124EF">
              <w:rPr>
                <w:rFonts w:cs="Arial"/>
                <w:sz w:val="24"/>
                <w:szCs w:val="24"/>
              </w:rPr>
              <w:t>H</w:t>
            </w:r>
            <w:r w:rsidRPr="00A330AF">
              <w:rPr>
                <w:rFonts w:cs="Arial"/>
                <w:sz w:val="24"/>
                <w:szCs w:val="24"/>
              </w:rPr>
              <w:t>eadteacher and Governing Body.</w:t>
            </w:r>
          </w:p>
        </w:tc>
      </w:tr>
      <w:tr w:rsidR="00A330AF" w:rsidRPr="00A330AF" w:rsidTr="7B289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9" w:type="dxa"/>
        </w:trPr>
        <w:tc>
          <w:tcPr>
            <w:tcW w:w="399" w:type="dxa"/>
            <w:gridSpan w:val="2"/>
            <w:tcBorders>
              <w:top w:val="nil"/>
              <w:left w:val="nil"/>
              <w:bottom w:val="nil"/>
              <w:right w:val="nil"/>
            </w:tcBorders>
          </w:tcPr>
          <w:p w:rsidR="00A330AF" w:rsidRPr="00A330AF" w:rsidRDefault="00A330AF" w:rsidP="0010507C">
            <w:pPr>
              <w:rPr>
                <w:rFonts w:cs="Arial"/>
                <w:sz w:val="24"/>
                <w:szCs w:val="24"/>
              </w:rPr>
            </w:pPr>
          </w:p>
        </w:tc>
        <w:tc>
          <w:tcPr>
            <w:tcW w:w="9608" w:type="dxa"/>
            <w:gridSpan w:val="2"/>
            <w:tcBorders>
              <w:top w:val="nil"/>
              <w:left w:val="nil"/>
              <w:bottom w:val="nil"/>
              <w:right w:val="nil"/>
            </w:tcBorders>
          </w:tcPr>
          <w:p w:rsidR="00A330AF" w:rsidRPr="00A330AF" w:rsidRDefault="00A330AF" w:rsidP="0010507C">
            <w:pPr>
              <w:rPr>
                <w:rFonts w:cs="Arial"/>
                <w:sz w:val="24"/>
                <w:szCs w:val="24"/>
              </w:rPr>
            </w:pPr>
            <w:proofErr w:type="gramStart"/>
            <w:r w:rsidRPr="00A330AF">
              <w:rPr>
                <w:rFonts w:cs="Arial"/>
                <w:sz w:val="24"/>
                <w:szCs w:val="24"/>
              </w:rPr>
              <w:t xml:space="preserve">v.  </w:t>
            </w:r>
            <w:r w:rsidRPr="00A330AF">
              <w:rPr>
                <w:rFonts w:cs="Arial"/>
                <w:sz w:val="24"/>
                <w:szCs w:val="24"/>
                <w:u w:val="single"/>
              </w:rPr>
              <w:t>Family</w:t>
            </w:r>
            <w:proofErr w:type="gramEnd"/>
            <w:r w:rsidRPr="00A330AF">
              <w:rPr>
                <w:rFonts w:cs="Arial"/>
                <w:sz w:val="24"/>
                <w:szCs w:val="24"/>
                <w:u w:val="single"/>
              </w:rPr>
              <w:t xml:space="preserve"> Leave</w:t>
            </w:r>
            <w:r w:rsidRPr="00A330AF">
              <w:rPr>
                <w:rFonts w:cs="Arial"/>
                <w:sz w:val="24"/>
                <w:szCs w:val="24"/>
              </w:rPr>
              <w:t xml:space="preserve"> – the current Maternity, Paternity and Parental leave entitlements will be sought from Hampshire County Council Personnel Department for the relevant employee when applicable.</w:t>
            </w:r>
          </w:p>
        </w:tc>
      </w:tr>
      <w:tr w:rsidR="00A330AF" w:rsidRPr="00A330AF" w:rsidTr="7B289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9" w:type="dxa"/>
        </w:trPr>
        <w:tc>
          <w:tcPr>
            <w:tcW w:w="399" w:type="dxa"/>
            <w:gridSpan w:val="2"/>
            <w:tcBorders>
              <w:top w:val="nil"/>
              <w:left w:val="nil"/>
              <w:bottom w:val="nil"/>
              <w:right w:val="nil"/>
            </w:tcBorders>
          </w:tcPr>
          <w:p w:rsidR="00A330AF" w:rsidRPr="00A330AF" w:rsidRDefault="00A330AF" w:rsidP="0010507C">
            <w:pPr>
              <w:rPr>
                <w:rFonts w:cs="Arial"/>
                <w:sz w:val="24"/>
                <w:szCs w:val="24"/>
              </w:rPr>
            </w:pPr>
          </w:p>
        </w:tc>
        <w:tc>
          <w:tcPr>
            <w:tcW w:w="9608" w:type="dxa"/>
            <w:gridSpan w:val="2"/>
            <w:tcBorders>
              <w:top w:val="nil"/>
              <w:left w:val="nil"/>
              <w:bottom w:val="nil"/>
              <w:right w:val="nil"/>
            </w:tcBorders>
          </w:tcPr>
          <w:p w:rsidR="00A330AF" w:rsidRPr="00A330AF" w:rsidRDefault="00A330AF" w:rsidP="0010507C">
            <w:pPr>
              <w:rPr>
                <w:rFonts w:cs="Arial"/>
                <w:sz w:val="24"/>
                <w:szCs w:val="24"/>
              </w:rPr>
            </w:pPr>
            <w:r w:rsidRPr="00A330AF">
              <w:rPr>
                <w:rFonts w:cs="Arial"/>
                <w:sz w:val="24"/>
                <w:szCs w:val="24"/>
              </w:rPr>
              <w:t xml:space="preserve">vi.  </w:t>
            </w:r>
            <w:r w:rsidRPr="00A330AF">
              <w:rPr>
                <w:rFonts w:cs="Arial"/>
                <w:sz w:val="24"/>
                <w:szCs w:val="24"/>
                <w:u w:val="single"/>
              </w:rPr>
              <w:t>Weddings</w:t>
            </w:r>
            <w:r w:rsidRPr="00A330AF">
              <w:rPr>
                <w:rFonts w:cs="Arial"/>
                <w:sz w:val="24"/>
                <w:szCs w:val="24"/>
              </w:rPr>
              <w:t xml:space="preserve"> – </w:t>
            </w:r>
            <w:r w:rsidR="008124EF">
              <w:rPr>
                <w:rFonts w:cs="Arial"/>
                <w:sz w:val="24"/>
                <w:szCs w:val="24"/>
              </w:rPr>
              <w:t>H</w:t>
            </w:r>
            <w:r w:rsidRPr="00A330AF">
              <w:rPr>
                <w:rFonts w:cs="Arial"/>
                <w:sz w:val="24"/>
                <w:szCs w:val="24"/>
              </w:rPr>
              <w:t>eadteacher can authorise one days paid leave to enable a member of staff to get married or to attend a wedding of a close relative.</w:t>
            </w:r>
          </w:p>
        </w:tc>
      </w:tr>
      <w:tr w:rsidR="00A330AF" w:rsidRPr="00A330AF" w:rsidTr="7B289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9" w:type="dxa"/>
        </w:trPr>
        <w:tc>
          <w:tcPr>
            <w:tcW w:w="399" w:type="dxa"/>
            <w:gridSpan w:val="2"/>
            <w:tcBorders>
              <w:top w:val="nil"/>
              <w:left w:val="nil"/>
              <w:bottom w:val="nil"/>
              <w:right w:val="nil"/>
            </w:tcBorders>
          </w:tcPr>
          <w:p w:rsidR="00A330AF" w:rsidRPr="00A330AF" w:rsidRDefault="00A330AF" w:rsidP="0010507C">
            <w:pPr>
              <w:rPr>
                <w:rFonts w:cs="Arial"/>
                <w:sz w:val="24"/>
                <w:szCs w:val="24"/>
              </w:rPr>
            </w:pPr>
          </w:p>
        </w:tc>
        <w:tc>
          <w:tcPr>
            <w:tcW w:w="9608" w:type="dxa"/>
            <w:gridSpan w:val="2"/>
            <w:tcBorders>
              <w:top w:val="nil"/>
              <w:left w:val="nil"/>
              <w:bottom w:val="nil"/>
              <w:right w:val="nil"/>
            </w:tcBorders>
          </w:tcPr>
          <w:p w:rsidR="00A330AF" w:rsidRPr="00A330AF" w:rsidRDefault="00A330AF" w:rsidP="0010507C">
            <w:pPr>
              <w:rPr>
                <w:rFonts w:cs="Arial"/>
                <w:sz w:val="24"/>
                <w:szCs w:val="24"/>
              </w:rPr>
            </w:pPr>
            <w:r w:rsidRPr="00A330AF">
              <w:rPr>
                <w:rFonts w:cs="Arial"/>
                <w:sz w:val="24"/>
                <w:szCs w:val="24"/>
              </w:rPr>
              <w:t>vii</w:t>
            </w:r>
            <w:proofErr w:type="gramStart"/>
            <w:r w:rsidRPr="00A330AF">
              <w:rPr>
                <w:rFonts w:cs="Arial"/>
                <w:sz w:val="24"/>
                <w:szCs w:val="24"/>
              </w:rPr>
              <w:t xml:space="preserve">.  </w:t>
            </w:r>
            <w:r w:rsidRPr="00A330AF">
              <w:rPr>
                <w:rFonts w:cs="Arial"/>
                <w:sz w:val="24"/>
                <w:szCs w:val="24"/>
                <w:u w:val="single"/>
              </w:rPr>
              <w:t>Graduations</w:t>
            </w:r>
            <w:proofErr w:type="gramEnd"/>
            <w:r w:rsidRPr="00A330AF">
              <w:rPr>
                <w:rFonts w:cs="Arial"/>
                <w:sz w:val="24"/>
                <w:szCs w:val="24"/>
              </w:rPr>
              <w:t xml:space="preserve"> – </w:t>
            </w:r>
            <w:r w:rsidR="008124EF">
              <w:rPr>
                <w:rFonts w:cs="Arial"/>
                <w:sz w:val="24"/>
                <w:szCs w:val="24"/>
              </w:rPr>
              <w:t>H</w:t>
            </w:r>
            <w:r w:rsidRPr="00A330AF">
              <w:rPr>
                <w:rFonts w:cs="Arial"/>
                <w:sz w:val="24"/>
                <w:szCs w:val="24"/>
              </w:rPr>
              <w:t>eadteacher may authorise one days paid leave to attend the graduation of their child or partner, and also authorise one day’s leave to enable the member of staff to attend his/her graduation ceremony.</w:t>
            </w:r>
          </w:p>
        </w:tc>
      </w:tr>
      <w:tr w:rsidR="00A330AF" w:rsidRPr="00A330AF" w:rsidTr="7B289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9" w:type="dxa"/>
        </w:trPr>
        <w:tc>
          <w:tcPr>
            <w:tcW w:w="399" w:type="dxa"/>
            <w:gridSpan w:val="2"/>
            <w:tcBorders>
              <w:top w:val="nil"/>
              <w:left w:val="nil"/>
              <w:bottom w:val="nil"/>
              <w:right w:val="nil"/>
            </w:tcBorders>
          </w:tcPr>
          <w:p w:rsidR="00A330AF" w:rsidRPr="00A330AF" w:rsidRDefault="00A330AF" w:rsidP="0010507C">
            <w:pPr>
              <w:rPr>
                <w:rFonts w:cs="Arial"/>
                <w:sz w:val="24"/>
                <w:szCs w:val="24"/>
              </w:rPr>
            </w:pPr>
          </w:p>
        </w:tc>
        <w:tc>
          <w:tcPr>
            <w:tcW w:w="9608" w:type="dxa"/>
            <w:gridSpan w:val="2"/>
            <w:tcBorders>
              <w:top w:val="nil"/>
              <w:left w:val="nil"/>
              <w:bottom w:val="nil"/>
              <w:right w:val="nil"/>
            </w:tcBorders>
          </w:tcPr>
          <w:p w:rsidR="00A330AF" w:rsidRPr="00A330AF" w:rsidRDefault="00A330AF" w:rsidP="0010507C">
            <w:pPr>
              <w:rPr>
                <w:rFonts w:cs="Arial"/>
                <w:sz w:val="24"/>
                <w:szCs w:val="24"/>
              </w:rPr>
            </w:pPr>
            <w:r w:rsidRPr="7B289417">
              <w:rPr>
                <w:rFonts w:cs="Arial"/>
                <w:sz w:val="24"/>
                <w:szCs w:val="24"/>
              </w:rPr>
              <w:t xml:space="preserve">viii.   </w:t>
            </w:r>
            <w:r w:rsidRPr="7B289417">
              <w:rPr>
                <w:rFonts w:cs="Arial"/>
                <w:sz w:val="24"/>
                <w:szCs w:val="24"/>
                <w:u w:val="single"/>
              </w:rPr>
              <w:t>Removals</w:t>
            </w:r>
            <w:r w:rsidRPr="7B289417">
              <w:rPr>
                <w:rFonts w:cs="Arial"/>
                <w:sz w:val="24"/>
                <w:szCs w:val="24"/>
              </w:rPr>
              <w:t xml:space="preserve"> – </w:t>
            </w:r>
            <w:r w:rsidR="008124EF" w:rsidRPr="7B289417">
              <w:rPr>
                <w:rFonts w:cs="Arial"/>
                <w:sz w:val="24"/>
                <w:szCs w:val="24"/>
              </w:rPr>
              <w:t>H</w:t>
            </w:r>
            <w:r w:rsidRPr="7B289417">
              <w:rPr>
                <w:rFonts w:cs="Arial"/>
                <w:sz w:val="24"/>
                <w:szCs w:val="24"/>
              </w:rPr>
              <w:t xml:space="preserve">eadteacher may authorise one days paid leave, </w:t>
            </w:r>
            <w:r w:rsidR="4C3467DA" w:rsidRPr="7B289417">
              <w:rPr>
                <w:rFonts w:cs="Arial"/>
                <w:sz w:val="24"/>
                <w:szCs w:val="24"/>
              </w:rPr>
              <w:t>and</w:t>
            </w:r>
            <w:r w:rsidRPr="7B289417">
              <w:rPr>
                <w:rFonts w:cs="Arial"/>
                <w:sz w:val="24"/>
                <w:szCs w:val="24"/>
              </w:rPr>
              <w:t xml:space="preserve"> may authorise an additional day in the case of a long-distance removal.</w:t>
            </w:r>
          </w:p>
        </w:tc>
      </w:tr>
      <w:tr w:rsidR="00A330AF" w:rsidRPr="00A330AF" w:rsidTr="7B289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9" w:type="dxa"/>
        </w:trPr>
        <w:tc>
          <w:tcPr>
            <w:tcW w:w="399" w:type="dxa"/>
            <w:gridSpan w:val="2"/>
            <w:tcBorders>
              <w:top w:val="nil"/>
              <w:left w:val="nil"/>
              <w:bottom w:val="nil"/>
              <w:right w:val="nil"/>
            </w:tcBorders>
          </w:tcPr>
          <w:p w:rsidR="00A330AF" w:rsidRPr="00A330AF" w:rsidRDefault="00A330AF" w:rsidP="0010507C">
            <w:pPr>
              <w:rPr>
                <w:rFonts w:cs="Arial"/>
                <w:sz w:val="24"/>
                <w:szCs w:val="24"/>
              </w:rPr>
            </w:pPr>
          </w:p>
        </w:tc>
        <w:tc>
          <w:tcPr>
            <w:tcW w:w="9608" w:type="dxa"/>
            <w:gridSpan w:val="2"/>
            <w:tcBorders>
              <w:top w:val="nil"/>
              <w:left w:val="nil"/>
              <w:bottom w:val="nil"/>
              <w:right w:val="nil"/>
            </w:tcBorders>
          </w:tcPr>
          <w:p w:rsidR="00A330AF" w:rsidRPr="00A330AF" w:rsidRDefault="00A330AF" w:rsidP="0010507C">
            <w:pPr>
              <w:rPr>
                <w:rFonts w:cs="Arial"/>
                <w:sz w:val="24"/>
                <w:szCs w:val="24"/>
              </w:rPr>
            </w:pPr>
            <w:r w:rsidRPr="00A330AF">
              <w:rPr>
                <w:rFonts w:cs="Arial"/>
                <w:sz w:val="24"/>
                <w:szCs w:val="24"/>
              </w:rPr>
              <w:t xml:space="preserve"> </w:t>
            </w:r>
            <w:proofErr w:type="gramStart"/>
            <w:r w:rsidRPr="00A330AF">
              <w:rPr>
                <w:rFonts w:cs="Arial"/>
                <w:sz w:val="24"/>
                <w:szCs w:val="24"/>
              </w:rPr>
              <w:t>viiii</w:t>
            </w:r>
            <w:proofErr w:type="gramEnd"/>
            <w:r w:rsidRPr="00A330AF">
              <w:rPr>
                <w:rFonts w:cs="Arial"/>
                <w:sz w:val="24"/>
                <w:szCs w:val="24"/>
              </w:rPr>
              <w:t xml:space="preserve">. </w:t>
            </w:r>
            <w:r w:rsidRPr="00A330AF">
              <w:rPr>
                <w:rFonts w:cs="Arial"/>
                <w:sz w:val="24"/>
                <w:szCs w:val="24"/>
                <w:u w:val="single"/>
              </w:rPr>
              <w:t>Miscellaneous Reasons</w:t>
            </w:r>
            <w:r w:rsidRPr="00A330AF">
              <w:rPr>
                <w:rFonts w:cs="Arial"/>
                <w:sz w:val="24"/>
                <w:szCs w:val="24"/>
              </w:rPr>
              <w:t xml:space="preserve"> – the </w:t>
            </w:r>
            <w:r w:rsidR="008124EF">
              <w:rPr>
                <w:rFonts w:cs="Arial"/>
                <w:sz w:val="24"/>
                <w:szCs w:val="24"/>
              </w:rPr>
              <w:t>H</w:t>
            </w:r>
            <w:r w:rsidRPr="00A330AF">
              <w:rPr>
                <w:rFonts w:cs="Arial"/>
                <w:sz w:val="24"/>
                <w:szCs w:val="24"/>
              </w:rPr>
              <w:t xml:space="preserve">eadteacher may authorise leave for a maximum of one day to enable a member of staff to be absent from duty for any other reasonable purpose.  In consultation with the governing body, the </w:t>
            </w:r>
            <w:r w:rsidR="008124EF">
              <w:rPr>
                <w:rFonts w:cs="Arial"/>
                <w:sz w:val="24"/>
                <w:szCs w:val="24"/>
              </w:rPr>
              <w:t>H</w:t>
            </w:r>
            <w:r w:rsidRPr="00A330AF">
              <w:rPr>
                <w:rFonts w:cs="Arial"/>
                <w:sz w:val="24"/>
                <w:szCs w:val="24"/>
              </w:rPr>
              <w:t>eadteacher has the discretion to authorise unpaid leave beyond one day per academic year per employee.</w:t>
            </w:r>
          </w:p>
        </w:tc>
      </w:tr>
      <w:tr w:rsidR="00A330AF" w:rsidRPr="00A330AF" w:rsidTr="7B289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9" w:type="dxa"/>
          <w:cantSplit/>
          <w:trHeight w:val="288"/>
        </w:trPr>
        <w:tc>
          <w:tcPr>
            <w:tcW w:w="10007" w:type="dxa"/>
            <w:gridSpan w:val="4"/>
            <w:tcBorders>
              <w:top w:val="nil"/>
              <w:left w:val="nil"/>
              <w:bottom w:val="nil"/>
              <w:right w:val="nil"/>
            </w:tcBorders>
          </w:tcPr>
          <w:p w:rsidR="00A330AF" w:rsidRPr="00A330AF" w:rsidRDefault="00A330AF" w:rsidP="00A330AF">
            <w:pPr>
              <w:spacing w:after="0"/>
              <w:rPr>
                <w:rFonts w:cs="Arial"/>
                <w:sz w:val="24"/>
                <w:szCs w:val="24"/>
              </w:rPr>
            </w:pPr>
            <w:r w:rsidRPr="00A330AF">
              <w:rPr>
                <w:rFonts w:cs="Arial"/>
                <w:sz w:val="24"/>
                <w:szCs w:val="24"/>
              </w:rPr>
              <w:t xml:space="preserve">For other absence reasons reference should be made to the </w:t>
            </w:r>
            <w:r w:rsidRPr="00A330AF">
              <w:rPr>
                <w:rFonts w:cs="Arial"/>
                <w:i/>
                <w:iCs/>
                <w:sz w:val="24"/>
                <w:szCs w:val="24"/>
              </w:rPr>
              <w:t>Manual of Personnel Practice</w:t>
            </w:r>
            <w:r w:rsidRPr="00A330AF">
              <w:rPr>
                <w:rFonts w:cs="Arial"/>
                <w:sz w:val="24"/>
                <w:szCs w:val="24"/>
              </w:rPr>
              <w:t>.</w:t>
            </w:r>
          </w:p>
        </w:tc>
      </w:tr>
    </w:tbl>
    <w:p w:rsidR="00A330AF" w:rsidRPr="00A330AF" w:rsidRDefault="00A330AF" w:rsidP="00A330AF">
      <w:pPr>
        <w:ind w:left="-180"/>
        <w:rPr>
          <w:rFonts w:cs="Arial"/>
          <w:sz w:val="2"/>
          <w:szCs w:val="24"/>
        </w:rPr>
      </w:pPr>
      <w:r w:rsidRPr="00A330AF">
        <w:rPr>
          <w:rFonts w:cs="Arial"/>
          <w:sz w:val="24"/>
          <w:szCs w:val="24"/>
        </w:rPr>
        <w:tab/>
      </w:r>
    </w:p>
    <w:tbl>
      <w:tblPr>
        <w:tblW w:w="10026" w:type="dxa"/>
        <w:tblInd w:w="288" w:type="dxa"/>
        <w:tblLook w:val="0000" w:firstRow="0" w:lastRow="0" w:firstColumn="0" w:lastColumn="0" w:noHBand="0" w:noVBand="0"/>
      </w:tblPr>
      <w:tblGrid>
        <w:gridCol w:w="399"/>
        <w:gridCol w:w="9627"/>
      </w:tblGrid>
      <w:tr w:rsidR="00A330AF" w:rsidRPr="00A330AF" w:rsidTr="00A330AF">
        <w:tc>
          <w:tcPr>
            <w:tcW w:w="399" w:type="dxa"/>
          </w:tcPr>
          <w:p w:rsidR="00A330AF" w:rsidRPr="00A330AF" w:rsidRDefault="00A330AF" w:rsidP="0010507C">
            <w:pPr>
              <w:rPr>
                <w:rFonts w:cs="Arial"/>
                <w:sz w:val="24"/>
                <w:szCs w:val="24"/>
              </w:rPr>
            </w:pPr>
            <w:r w:rsidRPr="00A330AF">
              <w:rPr>
                <w:rFonts w:cs="Arial"/>
                <w:sz w:val="24"/>
                <w:szCs w:val="24"/>
              </w:rPr>
              <w:t>6.</w:t>
            </w:r>
          </w:p>
        </w:tc>
        <w:tc>
          <w:tcPr>
            <w:tcW w:w="9627" w:type="dxa"/>
          </w:tcPr>
          <w:p w:rsidR="00A330AF" w:rsidRPr="00A330AF" w:rsidRDefault="00A330AF" w:rsidP="0010507C">
            <w:pPr>
              <w:rPr>
                <w:rFonts w:cs="Arial"/>
                <w:sz w:val="24"/>
                <w:szCs w:val="24"/>
              </w:rPr>
            </w:pPr>
            <w:r w:rsidRPr="00A330AF">
              <w:rPr>
                <w:rFonts w:cs="Arial"/>
                <w:sz w:val="24"/>
                <w:szCs w:val="24"/>
              </w:rPr>
              <w:t xml:space="preserve">Staff holidays </w:t>
            </w:r>
            <w:r w:rsidRPr="00A330AF">
              <w:rPr>
                <w:rFonts w:cs="Arial"/>
                <w:sz w:val="24"/>
                <w:szCs w:val="24"/>
                <w:u w:val="single"/>
              </w:rPr>
              <w:t>must</w:t>
            </w:r>
            <w:r w:rsidRPr="00A330AF">
              <w:rPr>
                <w:rFonts w:cs="Arial"/>
                <w:sz w:val="24"/>
                <w:szCs w:val="24"/>
              </w:rPr>
              <w:t xml:space="preserve"> be taken in the school holidays, the only exception to this is support staff employed on a </w:t>
            </w:r>
            <w:r w:rsidR="00282D4B" w:rsidRPr="00A330AF">
              <w:rPr>
                <w:rFonts w:cs="Arial"/>
                <w:sz w:val="24"/>
                <w:szCs w:val="24"/>
              </w:rPr>
              <w:t>52-week</w:t>
            </w:r>
            <w:r w:rsidRPr="00A330AF">
              <w:rPr>
                <w:rFonts w:cs="Arial"/>
                <w:sz w:val="24"/>
                <w:szCs w:val="24"/>
              </w:rPr>
              <w:t xml:space="preserve"> contract who are able to carry out their usual duties either during term time or school holidays.</w:t>
            </w:r>
          </w:p>
        </w:tc>
      </w:tr>
      <w:tr w:rsidR="00A330AF" w:rsidRPr="00A330AF" w:rsidTr="00A330AF">
        <w:tc>
          <w:tcPr>
            <w:tcW w:w="399" w:type="dxa"/>
          </w:tcPr>
          <w:p w:rsidR="00A330AF" w:rsidRPr="00A330AF" w:rsidRDefault="00A330AF" w:rsidP="0010507C">
            <w:pPr>
              <w:rPr>
                <w:rFonts w:cs="Arial"/>
                <w:sz w:val="24"/>
                <w:szCs w:val="24"/>
              </w:rPr>
            </w:pPr>
            <w:r w:rsidRPr="00A330AF">
              <w:rPr>
                <w:rFonts w:cs="Arial"/>
                <w:sz w:val="24"/>
                <w:szCs w:val="24"/>
              </w:rPr>
              <w:t>7.</w:t>
            </w:r>
          </w:p>
        </w:tc>
        <w:tc>
          <w:tcPr>
            <w:tcW w:w="9627" w:type="dxa"/>
          </w:tcPr>
          <w:p w:rsidR="00A330AF" w:rsidRPr="00A330AF" w:rsidRDefault="00A330AF" w:rsidP="004F2A3E">
            <w:pPr>
              <w:rPr>
                <w:rFonts w:cs="Arial"/>
                <w:sz w:val="24"/>
                <w:szCs w:val="24"/>
              </w:rPr>
            </w:pPr>
            <w:r w:rsidRPr="00A330AF">
              <w:rPr>
                <w:rFonts w:cs="Arial"/>
                <w:sz w:val="24"/>
                <w:szCs w:val="24"/>
              </w:rPr>
              <w:t xml:space="preserve">Any unauthorised absences will be dealt with by the Governing Body in accordance with the guidelines within the </w:t>
            </w:r>
            <w:r w:rsidRPr="00A330AF">
              <w:rPr>
                <w:rFonts w:cs="Arial"/>
                <w:i/>
                <w:iCs/>
                <w:sz w:val="24"/>
                <w:szCs w:val="24"/>
              </w:rPr>
              <w:t>Manual of Personnel Practice</w:t>
            </w:r>
            <w:r w:rsidRPr="00A330AF">
              <w:rPr>
                <w:rFonts w:cs="Arial"/>
                <w:sz w:val="24"/>
                <w:szCs w:val="24"/>
              </w:rPr>
              <w:t xml:space="preserve"> and may require consultation with </w:t>
            </w:r>
            <w:r w:rsidR="004F2A3E">
              <w:rPr>
                <w:rFonts w:cs="Arial"/>
                <w:sz w:val="24"/>
                <w:szCs w:val="24"/>
              </w:rPr>
              <w:t>Education Personnel Services.</w:t>
            </w:r>
          </w:p>
        </w:tc>
      </w:tr>
      <w:tr w:rsidR="00A330AF" w:rsidRPr="00A330AF" w:rsidTr="00A330AF">
        <w:tc>
          <w:tcPr>
            <w:tcW w:w="399" w:type="dxa"/>
          </w:tcPr>
          <w:p w:rsidR="00A330AF" w:rsidRPr="00A330AF" w:rsidRDefault="00A330AF" w:rsidP="0010507C">
            <w:pPr>
              <w:rPr>
                <w:rFonts w:cs="Arial"/>
                <w:sz w:val="24"/>
                <w:szCs w:val="24"/>
              </w:rPr>
            </w:pPr>
            <w:r w:rsidRPr="00A330AF">
              <w:rPr>
                <w:rFonts w:cs="Arial"/>
                <w:sz w:val="24"/>
                <w:szCs w:val="24"/>
              </w:rPr>
              <w:t>8.</w:t>
            </w:r>
          </w:p>
        </w:tc>
        <w:tc>
          <w:tcPr>
            <w:tcW w:w="9627" w:type="dxa"/>
          </w:tcPr>
          <w:p w:rsidR="00A330AF" w:rsidRPr="00A330AF" w:rsidRDefault="00A330AF" w:rsidP="004F2A3E">
            <w:pPr>
              <w:rPr>
                <w:rFonts w:cs="Arial"/>
                <w:sz w:val="24"/>
                <w:szCs w:val="24"/>
              </w:rPr>
            </w:pPr>
            <w:r w:rsidRPr="00A330AF">
              <w:rPr>
                <w:rFonts w:cs="Arial"/>
                <w:sz w:val="24"/>
                <w:szCs w:val="24"/>
              </w:rPr>
              <w:t xml:space="preserve">On extremely rare occasions the </w:t>
            </w:r>
            <w:r w:rsidR="004F2A3E">
              <w:rPr>
                <w:rFonts w:cs="Arial"/>
                <w:sz w:val="24"/>
                <w:szCs w:val="24"/>
              </w:rPr>
              <w:t>Finance and Staffing Committee of the</w:t>
            </w:r>
            <w:r w:rsidRPr="00A330AF">
              <w:rPr>
                <w:rFonts w:cs="Arial"/>
                <w:sz w:val="24"/>
                <w:szCs w:val="24"/>
              </w:rPr>
              <w:t xml:space="preserve"> Governing Body may be and can be called upon to give a decision with regards to the granting of paid/unpaid leave of absence.</w:t>
            </w:r>
          </w:p>
        </w:tc>
      </w:tr>
      <w:tr w:rsidR="00A330AF" w:rsidRPr="00A330AF" w:rsidTr="00A330AF">
        <w:tc>
          <w:tcPr>
            <w:tcW w:w="399" w:type="dxa"/>
          </w:tcPr>
          <w:p w:rsidR="00A330AF" w:rsidRPr="00A330AF" w:rsidRDefault="00A330AF" w:rsidP="0010507C">
            <w:pPr>
              <w:rPr>
                <w:rFonts w:cs="Arial"/>
                <w:sz w:val="24"/>
                <w:szCs w:val="24"/>
              </w:rPr>
            </w:pPr>
            <w:r w:rsidRPr="00A330AF">
              <w:rPr>
                <w:rFonts w:cs="Arial"/>
                <w:sz w:val="24"/>
                <w:szCs w:val="24"/>
              </w:rPr>
              <w:t>9.</w:t>
            </w:r>
          </w:p>
        </w:tc>
        <w:tc>
          <w:tcPr>
            <w:tcW w:w="9627" w:type="dxa"/>
          </w:tcPr>
          <w:p w:rsidR="00A330AF" w:rsidRPr="00A330AF" w:rsidRDefault="00A330AF" w:rsidP="0010507C">
            <w:pPr>
              <w:rPr>
                <w:rFonts w:cs="Arial"/>
                <w:sz w:val="24"/>
                <w:szCs w:val="24"/>
              </w:rPr>
            </w:pPr>
            <w:r w:rsidRPr="00A330AF">
              <w:rPr>
                <w:rFonts w:cs="Arial"/>
                <w:sz w:val="24"/>
                <w:szCs w:val="24"/>
              </w:rPr>
              <w:t>The governing body can also authorise time off in lieu for teachers and support staff if they undertake professional duties or training courses outside of school time.  Each application will be judged on its own merit.  Staff should ensure that they give one month’s notice to take time off in lieu and understand that no more than 2 staff can apply to be absent on any one day.</w:t>
            </w:r>
          </w:p>
        </w:tc>
      </w:tr>
      <w:tr w:rsidR="00A330AF" w:rsidRPr="00A330AF" w:rsidTr="00A330AF">
        <w:tc>
          <w:tcPr>
            <w:tcW w:w="399" w:type="dxa"/>
          </w:tcPr>
          <w:p w:rsidR="00A330AF" w:rsidRPr="00A330AF" w:rsidRDefault="00A330AF" w:rsidP="0010507C">
            <w:pPr>
              <w:rPr>
                <w:rFonts w:cs="Arial"/>
                <w:sz w:val="24"/>
                <w:szCs w:val="24"/>
              </w:rPr>
            </w:pPr>
          </w:p>
        </w:tc>
        <w:tc>
          <w:tcPr>
            <w:tcW w:w="9627" w:type="dxa"/>
          </w:tcPr>
          <w:p w:rsidR="00A330AF" w:rsidRPr="00A330AF" w:rsidRDefault="00A330AF" w:rsidP="004F2A3E">
            <w:pPr>
              <w:rPr>
                <w:rFonts w:cs="Arial"/>
                <w:sz w:val="24"/>
                <w:szCs w:val="24"/>
              </w:rPr>
            </w:pPr>
            <w:r w:rsidRPr="00A330AF">
              <w:rPr>
                <w:rFonts w:cs="Arial"/>
                <w:sz w:val="24"/>
                <w:szCs w:val="24"/>
              </w:rPr>
              <w:t xml:space="preserve">This policy has been designed to be used as a reference </w:t>
            </w:r>
            <w:r w:rsidR="003126E3" w:rsidRPr="00A330AF">
              <w:rPr>
                <w:rFonts w:cs="Arial"/>
                <w:sz w:val="24"/>
                <w:szCs w:val="24"/>
              </w:rPr>
              <w:t>document and</w:t>
            </w:r>
            <w:r w:rsidRPr="00A330AF">
              <w:rPr>
                <w:rFonts w:cs="Arial"/>
                <w:sz w:val="24"/>
                <w:szCs w:val="24"/>
              </w:rPr>
              <w:t xml:space="preserve"> summarizes County Council Policies.  Full details are housed within the </w:t>
            </w:r>
            <w:r w:rsidRPr="00A330AF">
              <w:rPr>
                <w:rFonts w:cs="Arial"/>
                <w:i/>
                <w:iCs/>
                <w:sz w:val="24"/>
                <w:szCs w:val="24"/>
              </w:rPr>
              <w:t>Manual of Personnel Practice</w:t>
            </w:r>
            <w:r w:rsidRPr="00A330AF">
              <w:rPr>
                <w:rFonts w:cs="Arial"/>
                <w:sz w:val="24"/>
                <w:szCs w:val="24"/>
              </w:rPr>
              <w:t xml:space="preserve"> and can also be gained from the </w:t>
            </w:r>
            <w:r w:rsidR="004F2A3E">
              <w:rPr>
                <w:rFonts w:cs="Arial"/>
                <w:sz w:val="24"/>
                <w:szCs w:val="24"/>
              </w:rPr>
              <w:t>Education Personnel Services.</w:t>
            </w:r>
          </w:p>
        </w:tc>
      </w:tr>
      <w:tr w:rsidR="00A330AF" w:rsidRPr="00A330AF" w:rsidTr="00A330AF">
        <w:tc>
          <w:tcPr>
            <w:tcW w:w="399" w:type="dxa"/>
          </w:tcPr>
          <w:p w:rsidR="00A330AF" w:rsidRPr="00A330AF" w:rsidRDefault="00A330AF" w:rsidP="0010507C">
            <w:pPr>
              <w:rPr>
                <w:rFonts w:cs="Arial"/>
                <w:sz w:val="24"/>
                <w:szCs w:val="24"/>
              </w:rPr>
            </w:pPr>
          </w:p>
        </w:tc>
        <w:tc>
          <w:tcPr>
            <w:tcW w:w="9627" w:type="dxa"/>
          </w:tcPr>
          <w:p w:rsidR="00A330AF" w:rsidRPr="00A330AF" w:rsidRDefault="00A330AF" w:rsidP="0010507C">
            <w:pPr>
              <w:rPr>
                <w:rFonts w:cs="Arial"/>
                <w:sz w:val="24"/>
                <w:szCs w:val="24"/>
              </w:rPr>
            </w:pPr>
          </w:p>
        </w:tc>
      </w:tr>
      <w:tr w:rsidR="00A330AF" w:rsidRPr="00A330AF" w:rsidTr="00A330AF">
        <w:tc>
          <w:tcPr>
            <w:tcW w:w="399" w:type="dxa"/>
          </w:tcPr>
          <w:p w:rsidR="00A330AF" w:rsidRPr="00A330AF" w:rsidRDefault="00A330AF" w:rsidP="0010507C">
            <w:pPr>
              <w:rPr>
                <w:rFonts w:cs="Arial"/>
                <w:sz w:val="24"/>
                <w:szCs w:val="24"/>
              </w:rPr>
            </w:pPr>
          </w:p>
        </w:tc>
        <w:tc>
          <w:tcPr>
            <w:tcW w:w="9627" w:type="dxa"/>
          </w:tcPr>
          <w:p w:rsidR="00A330AF" w:rsidRPr="00A330AF" w:rsidRDefault="00A330AF" w:rsidP="0010507C">
            <w:pPr>
              <w:rPr>
                <w:rFonts w:cs="Arial"/>
                <w:sz w:val="24"/>
                <w:szCs w:val="24"/>
              </w:rPr>
            </w:pPr>
          </w:p>
        </w:tc>
      </w:tr>
      <w:tr w:rsidR="00A330AF" w:rsidRPr="00A330AF" w:rsidTr="00A330AF">
        <w:tc>
          <w:tcPr>
            <w:tcW w:w="399" w:type="dxa"/>
          </w:tcPr>
          <w:p w:rsidR="00A330AF" w:rsidRPr="00A330AF" w:rsidRDefault="00A330AF" w:rsidP="0010507C">
            <w:pPr>
              <w:rPr>
                <w:rFonts w:cs="Arial"/>
                <w:sz w:val="24"/>
                <w:szCs w:val="24"/>
              </w:rPr>
            </w:pPr>
          </w:p>
        </w:tc>
        <w:tc>
          <w:tcPr>
            <w:tcW w:w="9627" w:type="dxa"/>
          </w:tcPr>
          <w:p w:rsidR="00A330AF" w:rsidRPr="00A330AF" w:rsidRDefault="00A330AF" w:rsidP="0010507C">
            <w:pPr>
              <w:rPr>
                <w:rFonts w:cs="Arial"/>
                <w:sz w:val="24"/>
                <w:szCs w:val="24"/>
              </w:rPr>
            </w:pPr>
          </w:p>
        </w:tc>
      </w:tr>
      <w:tr w:rsidR="00A330AF" w:rsidRPr="00A330AF" w:rsidTr="00A330AF">
        <w:trPr>
          <w:cantSplit/>
        </w:trPr>
        <w:tc>
          <w:tcPr>
            <w:tcW w:w="10026" w:type="dxa"/>
            <w:gridSpan w:val="2"/>
          </w:tcPr>
          <w:p w:rsidR="00A330AF" w:rsidRPr="00A330AF" w:rsidRDefault="00A330AF" w:rsidP="00A330AF">
            <w:pPr>
              <w:rPr>
                <w:rFonts w:cs="Arial"/>
                <w:sz w:val="24"/>
                <w:szCs w:val="24"/>
              </w:rPr>
            </w:pPr>
          </w:p>
        </w:tc>
      </w:tr>
    </w:tbl>
    <w:p w:rsidR="00A330AF" w:rsidRDefault="00A330AF" w:rsidP="00A330AF">
      <w:pPr>
        <w:rPr>
          <w:rFonts w:ascii="Arial" w:hAnsi="Arial" w:cs="Arial"/>
        </w:rPr>
      </w:pPr>
    </w:p>
    <w:p w:rsidR="00A330AF" w:rsidRDefault="00A330AF" w:rsidP="00A330AF">
      <w:pPr>
        <w:ind w:left="-180"/>
        <w:rPr>
          <w:rFonts w:ascii="Arial" w:hAnsi="Arial" w:cs="Arial"/>
          <w:sz w:val="20"/>
        </w:rPr>
      </w:pPr>
    </w:p>
    <w:p w:rsidR="00A330AF" w:rsidRDefault="00A330AF" w:rsidP="00B34EFC">
      <w:pPr>
        <w:spacing w:after="0"/>
        <w:rPr>
          <w:rFonts w:cs="Arial"/>
        </w:rPr>
      </w:pPr>
    </w:p>
    <w:sectPr w:rsidR="00A330AF" w:rsidSect="00DD1287">
      <w:headerReference w:type="default" r:id="rId10"/>
      <w:footerReference w:type="default" r:id="rId11"/>
      <w:pgSz w:w="11906" w:h="16838"/>
      <w:pgMar w:top="1985" w:right="737" w:bottom="1134" w:left="73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C0C" w:rsidRDefault="00B15C0C" w:rsidP="00985599">
      <w:pPr>
        <w:spacing w:after="0" w:line="240" w:lineRule="auto"/>
      </w:pPr>
      <w:r>
        <w:separator/>
      </w:r>
    </w:p>
  </w:endnote>
  <w:endnote w:type="continuationSeparator" w:id="0">
    <w:p w:rsidR="00B15C0C" w:rsidRDefault="00B15C0C" w:rsidP="00985599">
      <w:pPr>
        <w:spacing w:after="0" w:line="240" w:lineRule="auto"/>
      </w:pPr>
      <w:r>
        <w:continuationSeparator/>
      </w:r>
    </w:p>
  </w:endnote>
  <w:endnote w:type="continuationNotice" w:id="1">
    <w:p w:rsidR="00B15C0C" w:rsidRDefault="00B15C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77134"/>
      <w:docPartObj>
        <w:docPartGallery w:val="Page Numbers (Bottom of Page)"/>
        <w:docPartUnique/>
      </w:docPartObj>
    </w:sdtPr>
    <w:sdtEndPr/>
    <w:sdtContent>
      <w:sdt>
        <w:sdtPr>
          <w:id w:val="860082579"/>
          <w:docPartObj>
            <w:docPartGallery w:val="Page Numbers (Top of Page)"/>
            <w:docPartUnique/>
          </w:docPartObj>
        </w:sdtPr>
        <w:sdtEndPr/>
        <w:sdtContent>
          <w:p w:rsidR="009D7BF9" w:rsidRDefault="00957AB4">
            <w:pPr>
              <w:pStyle w:val="Footer"/>
              <w:jc w:val="right"/>
            </w:pPr>
            <w:r>
              <w:rPr>
                <w:noProof/>
                <w:color w:val="1F497D" w:themeColor="text2"/>
                <w:sz w:val="28"/>
                <w:szCs w:val="28"/>
                <w:lang w:eastAsia="en-GB"/>
              </w:rPr>
              <mc:AlternateContent>
                <mc:Choice Requires="wps">
                  <w:drawing>
                    <wp:anchor distT="0" distB="0" distL="114300" distR="114300" simplePos="0" relativeHeight="251658242" behindDoc="0" locked="0" layoutInCell="1" allowOverlap="1" wp14:anchorId="62D0295E" wp14:editId="66CFEC23">
                      <wp:simplePos x="0" y="0"/>
                      <wp:positionH relativeFrom="column">
                        <wp:posOffset>1008380</wp:posOffset>
                      </wp:positionH>
                      <wp:positionV relativeFrom="paragraph">
                        <wp:posOffset>131445</wp:posOffset>
                      </wp:positionV>
                      <wp:extent cx="4333875" cy="3714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371475"/>
                              </a:xfrm>
                              <a:prstGeom prst="rect">
                                <a:avLst/>
                              </a:prstGeom>
                              <a:noFill/>
                              <a:ln w="9525">
                                <a:noFill/>
                                <a:miter lim="800000"/>
                                <a:headEnd/>
                                <a:tailEnd/>
                              </a:ln>
                            </wps:spPr>
                            <wps:txbx>
                              <w:txbxContent>
                                <w:p w:rsidR="009D7BF9" w:rsidRPr="00662745" w:rsidRDefault="00A330AF" w:rsidP="00662745">
                                  <w:pPr>
                                    <w:jc w:val="center"/>
                                    <w:rPr>
                                      <w:color w:val="1F497D" w:themeColor="text2"/>
                                      <w:sz w:val="28"/>
                                      <w:szCs w:val="28"/>
                                    </w:rPr>
                                  </w:pPr>
                                  <w:r>
                                    <w:rPr>
                                      <w:color w:val="1F497D" w:themeColor="text2"/>
                                      <w:sz w:val="28"/>
                                      <w:szCs w:val="28"/>
                                    </w:rPr>
                                    <w:t>Absence</w:t>
                                  </w:r>
                                  <w:r w:rsidR="00B34EFC">
                                    <w:rPr>
                                      <w:color w:val="1F497D" w:themeColor="text2"/>
                                      <w:sz w:val="28"/>
                                      <w:szCs w:val="28"/>
                                    </w:rPr>
                                    <w:t xml:space="preserv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D0295E" id="_x0000_t202" coordsize="21600,21600" o:spt="202" path="m,l,21600r21600,l21600,xe">
                      <v:stroke joinstyle="miter"/>
                      <v:path gradientshapeok="t" o:connecttype="rect"/>
                    </v:shapetype>
                    <v:shape id="Text Box 2" o:spid="_x0000_s1026" type="#_x0000_t202" style="position:absolute;left:0;text-align:left;margin-left:79.4pt;margin-top:10.35pt;width:341.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xNNCQIAAPIDAAAOAAAAZHJzL2Uyb0RvYy54bWysU9tuGyEQfa/Uf0C81+trnay8jtKkqSql&#10;FynpB4xZ1osKDAXsXffrM7COYyVvVXlAAzNzmHNmWF31RrO99EGhrfhkNOZMWoG1stuK/3q8+3DB&#10;WYhga9BoZcUPMvCr9ft3q86Vcoot6lp6RiA2lJ2reBujK4siiFYaCCN00pKzQW8g0tFvi9pDR+hG&#10;F9Px+GPRoa+dRyFDoNvbwcnXGb9ppIg/mibIyHTFqbaYd5/3TdqL9QrKrQfXKnEsA/6hCgPK0qMn&#10;qFuIwHZevYEySngM2MSRQFNg0yghMwdiMxm/YvPQgpOZC4kT3Emm8P9gxff9T89UXXFqlAVDLXqU&#10;fWSfsGfTpE7nQklBD47CYk/X1OXMNLh7FL8Ds3jTgt3Ka++xayXUVN0kZRZnqQNOSCCb7hvW9Azs&#10;ImagvvEmSUdiMEKnLh1OnUmlCLqcz2azi+WCM0G+2XIyJzs9AeVztvMhfpFoWDIq7qnzGR329yEO&#10;oc8h6TGLd0pruodSW9ZV/HIxXeSEM49RkYZTK0PqjNMaxiWR/GzrnBxB6cGmWrQ9sk5EB8qx3/QU&#10;mKTYYH0g/h6HIaRPQ0aL/i9nHQ1gxcOfHXjJmf5qScPLyXyeJjYf5ovllA7+3LM594AVBFXxyNlg&#10;3sQ85QPXa9K6UVmGl0qOtdJgZSGPnyBN7vk5R7181fUTAAAA//8DAFBLAwQUAAYACAAAACEA60GG&#10;yN4AAAAJAQAADwAAAGRycy9kb3ducmV2LnhtbEyPQU/CQBSE7yb8h80z4Sa7FJBSuyVG41UjKgm3&#10;pftoG7pvm+5C67/3edLjZCYz3+Tb0bXiin1oPGmYzxQIpNLbhioNnx8vdymIEA1Z03pCDd8YYFtM&#10;bnKTWT/QO153sRJcQiEzGuoYu0zKUNboTJj5Dom9k++diSz7StreDFzuWpkodS+daYgXatPhU43l&#10;eXdxGr5eT4f9Ur1Vz27VDX5UktxGaj29HR8fQEQc418YfvEZHQpmOvoL2SBa1quU0aOGRK1BcCBd&#10;zhcgjhrWmwRkkcv/D4ofAAAA//8DAFBLAQItABQABgAIAAAAIQC2gziS/gAAAOEBAAATAAAAAAAA&#10;AAAAAAAAAAAAAABbQ29udGVudF9UeXBlc10ueG1sUEsBAi0AFAAGAAgAAAAhADj9If/WAAAAlAEA&#10;AAsAAAAAAAAAAAAAAAAALwEAAF9yZWxzLy5yZWxzUEsBAi0AFAAGAAgAAAAhAG3fE00JAgAA8gMA&#10;AA4AAAAAAAAAAAAAAAAALgIAAGRycy9lMm9Eb2MueG1sUEsBAi0AFAAGAAgAAAAhAOtBhsjeAAAA&#10;CQEAAA8AAAAAAAAAAAAAAAAAYwQAAGRycy9kb3ducmV2LnhtbFBLBQYAAAAABAAEAPMAAABuBQAA&#10;AAA=&#10;" filled="f" stroked="f">
                      <v:textbox>
                        <w:txbxContent>
                          <w:p w:rsidR="009D7BF9" w:rsidRPr="00662745" w:rsidRDefault="00A330AF" w:rsidP="00662745">
                            <w:pPr>
                              <w:jc w:val="center"/>
                              <w:rPr>
                                <w:color w:val="1F497D" w:themeColor="text2"/>
                                <w:sz w:val="28"/>
                                <w:szCs w:val="28"/>
                              </w:rPr>
                            </w:pPr>
                            <w:r>
                              <w:rPr>
                                <w:color w:val="1F497D" w:themeColor="text2"/>
                                <w:sz w:val="28"/>
                                <w:szCs w:val="28"/>
                              </w:rPr>
                              <w:t>Absence</w:t>
                            </w:r>
                            <w:r w:rsidR="00B34EFC">
                              <w:rPr>
                                <w:color w:val="1F497D" w:themeColor="text2"/>
                                <w:sz w:val="28"/>
                                <w:szCs w:val="28"/>
                              </w:rPr>
                              <w:t xml:space="preserve"> Policy</w:t>
                            </w:r>
                          </w:p>
                        </w:txbxContent>
                      </v:textbox>
                    </v:shape>
                  </w:pict>
                </mc:Fallback>
              </mc:AlternateContent>
            </w:r>
            <w:r>
              <w:rPr>
                <w:noProof/>
                <w:color w:val="1F497D" w:themeColor="text2"/>
                <w:sz w:val="28"/>
                <w:szCs w:val="28"/>
                <w:lang w:eastAsia="en-GB"/>
              </w:rPr>
              <mc:AlternateContent>
                <mc:Choice Requires="wps">
                  <w:drawing>
                    <wp:anchor distT="0" distB="0" distL="114300" distR="114300" simplePos="0" relativeHeight="251658241" behindDoc="0" locked="0" layoutInCell="1" allowOverlap="1" wp14:anchorId="51A2F79F" wp14:editId="740260BB">
                      <wp:simplePos x="0" y="0"/>
                      <wp:positionH relativeFrom="column">
                        <wp:posOffset>-285750</wp:posOffset>
                      </wp:positionH>
                      <wp:positionV relativeFrom="paragraph">
                        <wp:posOffset>130175</wp:posOffset>
                      </wp:positionV>
                      <wp:extent cx="1800225" cy="3714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71475"/>
                              </a:xfrm>
                              <a:prstGeom prst="rect">
                                <a:avLst/>
                              </a:prstGeom>
                              <a:noFill/>
                              <a:ln w="9525">
                                <a:noFill/>
                                <a:miter lim="800000"/>
                                <a:headEnd/>
                                <a:tailEnd/>
                              </a:ln>
                            </wps:spPr>
                            <wps:txbx>
                              <w:txbxContent>
                                <w:p w:rsidR="009D7BF9" w:rsidRPr="00662745" w:rsidRDefault="009D7BF9">
                                  <w:pPr>
                                    <w:rPr>
                                      <w:color w:val="1F497D" w:themeColor="text2"/>
                                      <w:sz w:val="28"/>
                                      <w:szCs w:val="28"/>
                                    </w:rPr>
                                  </w:pPr>
                                  <w:r w:rsidRPr="00662745">
                                    <w:rPr>
                                      <w:color w:val="1F497D" w:themeColor="text2"/>
                                      <w:sz w:val="28"/>
                                      <w:szCs w:val="28"/>
                                    </w:rPr>
                                    <w:t>The Toynbee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2F79F" id="_x0000_s1027" type="#_x0000_t202" style="position:absolute;left:0;text-align:left;margin-left:-22.5pt;margin-top:10.25pt;width:141.75pt;height:2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U5DAIAAPsDAAAOAAAAZHJzL2Uyb0RvYy54bWysU9tu2zAMfR+wfxD0vvjSZGmNKEXXrsOA&#10;7gK0+wBFlmNhkqhJSuzs60fJaRp0b8P8IIgmechzSK2uR6PJXvqgwDJazUpKpBXQKrtl9MfT/btL&#10;SkLktuUarGT0IAO9Xr99sxpcI2voQbfSEwSxoRkco32MrimKIHppeJiBkxadHXjDI5p+W7SeD4hu&#10;dFGX5ftiAN86D0KGgH/vJiddZ/yukyJ+67ogI9GMYm8xnz6fm3QW6xVvtp67XoljG/wfujBcWSx6&#10;grrjkZOdV39BGSU8BOjiTIApoOuUkJkDsqnKV2wee+5k5oLiBHeSKfw/WPF1/90T1TJ6US4psdzg&#10;kJ7kGMkHGEmd9BlcaDDs0WFgHPE3zjlzDe4BxM9ALNz23G7ljfcw9JK32F+VMouz1AknJJDN8AVa&#10;LMN3ETLQ2HmTxEM5CKLjnA6n2aRWRCp5WZZ1vaBEoO9iWc2Xi1yCN8/Zzof4SYIh6cKox9lndL5/&#10;CDF1w5vnkFTMwr3SOs9fWzIwerVA+FceoyKup1aGUayP37QwieRH2+bkyJWe7lhA2yPrRHSiHMfN&#10;mAXOkiRFNtAeUAYP0zbi68FLD/43JQNuIqPh1457SYn+bFHKq2o+T6ubjfliWaPhzz2bcw+3AqEY&#10;jZRM19uY130idoOSdyqr8dLJsWXcsCzS8TWkFT63c9TLm13/AQAA//8DAFBLAwQUAAYACAAAACEA&#10;XyjoRN4AAAAJAQAADwAAAGRycy9kb3ducmV2LnhtbEyPwU7DMBBE70j8g7VI3Fqb0NA2ZFMhEFdQ&#10;C0Xi5ibbJCJeR7HbhL9nOcFtVjOafZNvJtepMw2h9YxwMzegiEtftVwjvL89z1agQrRc2c4zIXxT&#10;gE1xeZHbrPIjb+m8i7WSEg6ZRWhi7DOtQ9mQs2Hue2Lxjn5wNso51Loa7CjlrtOJMXfa2ZblQ2N7&#10;emyo/NqdHML+5fj5sTCv9ZNL+9FPRrNba8Trq+nhHlSkKf6F4Rdf0KEQpoM/cRVUhzBbpLIlIiQm&#10;BSWB5HYl4oCwXBvQRa7/Lyh+AAAA//8DAFBLAQItABQABgAIAAAAIQC2gziS/gAAAOEBAAATAAAA&#10;AAAAAAAAAAAAAAAAAABbQ29udGVudF9UeXBlc10ueG1sUEsBAi0AFAAGAAgAAAAhADj9If/WAAAA&#10;lAEAAAsAAAAAAAAAAAAAAAAALwEAAF9yZWxzLy5yZWxzUEsBAi0AFAAGAAgAAAAhAAm2FTkMAgAA&#10;+wMAAA4AAAAAAAAAAAAAAAAALgIAAGRycy9lMm9Eb2MueG1sUEsBAi0AFAAGAAgAAAAhAF8o6ETe&#10;AAAACQEAAA8AAAAAAAAAAAAAAAAAZgQAAGRycy9kb3ducmV2LnhtbFBLBQYAAAAABAAEAPMAAABx&#10;BQAAAAA=&#10;" filled="f" stroked="f">
                      <v:textbox>
                        <w:txbxContent>
                          <w:p w:rsidR="009D7BF9" w:rsidRPr="00662745" w:rsidRDefault="009D7BF9">
                            <w:pPr>
                              <w:rPr>
                                <w:color w:val="1F497D" w:themeColor="text2"/>
                                <w:sz w:val="28"/>
                                <w:szCs w:val="28"/>
                              </w:rPr>
                            </w:pPr>
                            <w:r w:rsidRPr="00662745">
                              <w:rPr>
                                <w:color w:val="1F497D" w:themeColor="text2"/>
                                <w:sz w:val="28"/>
                                <w:szCs w:val="28"/>
                              </w:rPr>
                              <w:t>The Toynbee School</w:t>
                            </w:r>
                          </w:p>
                        </w:txbxContent>
                      </v:textbox>
                    </v:shape>
                  </w:pict>
                </mc:Fallback>
              </mc:AlternateContent>
            </w:r>
            <w:r w:rsidR="009D7BF9" w:rsidRPr="00662745">
              <w:rPr>
                <w:noProof/>
                <w:color w:val="1F497D" w:themeColor="text2"/>
                <w:sz w:val="28"/>
                <w:szCs w:val="28"/>
                <w:lang w:eastAsia="en-GB"/>
              </w:rPr>
              <w:drawing>
                <wp:anchor distT="0" distB="0" distL="114300" distR="114300" simplePos="0" relativeHeight="251658240" behindDoc="1" locked="0" layoutInCell="1" allowOverlap="1" wp14:anchorId="1A45DB33" wp14:editId="04F6F159">
                  <wp:simplePos x="0" y="0"/>
                  <wp:positionH relativeFrom="column">
                    <wp:posOffset>-466725</wp:posOffset>
                  </wp:positionH>
                  <wp:positionV relativeFrom="paragraph">
                    <wp:posOffset>66675</wp:posOffset>
                  </wp:positionV>
                  <wp:extent cx="7572375" cy="65659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1.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375" cy="656590"/>
                          </a:xfrm>
                          <a:prstGeom prst="rect">
                            <a:avLst/>
                          </a:prstGeom>
                        </pic:spPr>
                      </pic:pic>
                    </a:graphicData>
                  </a:graphic>
                </wp:anchor>
              </w:drawing>
            </w:r>
          </w:p>
          <w:p w:rsidR="009D7BF9" w:rsidRDefault="009D7BF9" w:rsidP="00662745">
            <w:pPr>
              <w:pStyle w:val="Footer"/>
              <w:jc w:val="right"/>
            </w:pPr>
            <w:r w:rsidRPr="00662745">
              <w:rPr>
                <w:color w:val="1F497D" w:themeColor="text2"/>
                <w:sz w:val="28"/>
                <w:szCs w:val="28"/>
              </w:rPr>
              <w:t xml:space="preserve"> </w:t>
            </w:r>
            <w:r w:rsidRPr="00662745">
              <w:rPr>
                <w:color w:val="1F497D" w:themeColor="text2"/>
                <w:sz w:val="24"/>
                <w:szCs w:val="24"/>
              </w:rPr>
              <w:t xml:space="preserve">Page </w:t>
            </w:r>
            <w:r w:rsidR="004F2A3E">
              <w:rPr>
                <w:b/>
                <w:bCs/>
                <w:noProof/>
                <w:color w:val="1F497D" w:themeColor="text2"/>
                <w:sz w:val="24"/>
                <w:szCs w:val="24"/>
              </w:rPr>
              <w:t>1</w:t>
            </w:r>
            <w:r w:rsidRPr="00662745">
              <w:rPr>
                <w:color w:val="1F497D" w:themeColor="text2"/>
                <w:sz w:val="24"/>
                <w:szCs w:val="24"/>
              </w:rPr>
              <w:t xml:space="preserve"> of </w:t>
            </w:r>
            <w:r w:rsidR="004F2A3E">
              <w:rPr>
                <w:b/>
                <w:bCs/>
                <w:noProof/>
                <w:color w:val="1F497D" w:themeColor="text2"/>
                <w:sz w:val="24"/>
                <w:szCs w:val="24"/>
              </w:rPr>
              <w:t>8</w:t>
            </w:r>
          </w:p>
        </w:sdtContent>
      </w:sdt>
    </w:sdtContent>
  </w:sdt>
  <w:p w:rsidR="009D7BF9" w:rsidRDefault="009D7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C0C" w:rsidRDefault="00B15C0C" w:rsidP="00985599">
      <w:pPr>
        <w:spacing w:after="0" w:line="240" w:lineRule="auto"/>
      </w:pPr>
      <w:r>
        <w:separator/>
      </w:r>
    </w:p>
  </w:footnote>
  <w:footnote w:type="continuationSeparator" w:id="0">
    <w:p w:rsidR="00B15C0C" w:rsidRDefault="00B15C0C" w:rsidP="00985599">
      <w:pPr>
        <w:spacing w:after="0" w:line="240" w:lineRule="auto"/>
      </w:pPr>
      <w:r>
        <w:continuationSeparator/>
      </w:r>
    </w:p>
  </w:footnote>
  <w:footnote w:type="continuationNotice" w:id="1">
    <w:p w:rsidR="00B15C0C" w:rsidRDefault="00B15C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BF9" w:rsidRPr="002C2441" w:rsidRDefault="009D7BF9" w:rsidP="00985599">
    <w:pPr>
      <w:pStyle w:val="NoSpacing"/>
      <w:rPr>
        <w:color w:val="FFFFFF" w:themeColor="background1"/>
        <w:sz w:val="32"/>
        <w:szCs w:val="32"/>
      </w:rPr>
    </w:pPr>
    <w:r>
      <w:rPr>
        <w:noProof/>
        <w:lang w:eastAsia="en-GB"/>
      </w:rPr>
      <w:drawing>
        <wp:anchor distT="0" distB="0" distL="114300" distR="114300" simplePos="0" relativeHeight="251658243" behindDoc="1" locked="0" layoutInCell="1" allowOverlap="1" wp14:anchorId="7F4394EC" wp14:editId="5EB50D68">
          <wp:simplePos x="0" y="0"/>
          <wp:positionH relativeFrom="column">
            <wp:posOffset>-526415</wp:posOffset>
          </wp:positionH>
          <wp:positionV relativeFrom="paragraph">
            <wp:posOffset>-449580</wp:posOffset>
          </wp:positionV>
          <wp:extent cx="7632282" cy="1104339"/>
          <wp:effectExtent l="0" t="0" r="6985"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2.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2282" cy="1104339"/>
                  </a:xfrm>
                  <a:prstGeom prst="rect">
                    <a:avLst/>
                  </a:prstGeom>
                </pic:spPr>
              </pic:pic>
            </a:graphicData>
          </a:graphic>
        </wp:anchor>
      </w:drawing>
    </w:r>
    <w:r>
      <w:tab/>
      <w:t xml:space="preserve">         </w:t>
    </w:r>
    <w:r w:rsidR="00A330AF">
      <w:rPr>
        <w:color w:val="FFFFFF" w:themeColor="background1"/>
        <w:sz w:val="32"/>
        <w:szCs w:val="32"/>
      </w:rPr>
      <w:t>Absence</w:t>
    </w:r>
    <w:r w:rsidR="00B34EFC">
      <w:rPr>
        <w:color w:val="FFFFFF" w:themeColor="background1"/>
        <w:sz w:val="32"/>
        <w:szCs w:val="32"/>
      </w:rPr>
      <w:t xml:space="preserve"> Policy</w:t>
    </w:r>
    <w:r w:rsidRPr="002C2441">
      <w:rPr>
        <w:color w:val="FFFFFF" w:themeColor="background1"/>
        <w:sz w:val="32"/>
        <w:szCs w:val="32"/>
      </w:rPr>
      <w:tab/>
    </w:r>
  </w:p>
  <w:p w:rsidR="009D7BF9" w:rsidRPr="00985599" w:rsidRDefault="009D7BF9">
    <w:pPr>
      <w:pStyle w:val="Header"/>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3D9A"/>
    <w:multiLevelType w:val="hybridMultilevel"/>
    <w:tmpl w:val="DE307F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5225F5A"/>
    <w:multiLevelType w:val="hybridMultilevel"/>
    <w:tmpl w:val="A67691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9A50CC"/>
    <w:multiLevelType w:val="hybridMultilevel"/>
    <w:tmpl w:val="B5EC9D8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6C47A1"/>
    <w:multiLevelType w:val="hybridMultilevel"/>
    <w:tmpl w:val="1D86E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5C71CB"/>
    <w:multiLevelType w:val="hybridMultilevel"/>
    <w:tmpl w:val="ADA87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9D41DD"/>
    <w:multiLevelType w:val="hybridMultilevel"/>
    <w:tmpl w:val="0D9EC6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108090B"/>
    <w:multiLevelType w:val="hybridMultilevel"/>
    <w:tmpl w:val="6436D2E6"/>
    <w:lvl w:ilvl="0" w:tplc="AAB8DD3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096B9F"/>
    <w:multiLevelType w:val="hybridMultilevel"/>
    <w:tmpl w:val="DCDC8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6B1138"/>
    <w:multiLevelType w:val="hybridMultilevel"/>
    <w:tmpl w:val="34A86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8830FD"/>
    <w:multiLevelType w:val="hybridMultilevel"/>
    <w:tmpl w:val="21702D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505E7E"/>
    <w:multiLevelType w:val="hybridMultilevel"/>
    <w:tmpl w:val="C9AEB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C82136"/>
    <w:multiLevelType w:val="hybridMultilevel"/>
    <w:tmpl w:val="43DCA0D0"/>
    <w:lvl w:ilvl="0" w:tplc="AAB8DD3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9"/>
  </w:num>
  <w:num w:numId="5">
    <w:abstractNumId w:val="2"/>
  </w:num>
  <w:num w:numId="6">
    <w:abstractNumId w:val="10"/>
  </w:num>
  <w:num w:numId="7">
    <w:abstractNumId w:val="13"/>
  </w:num>
  <w:num w:numId="8">
    <w:abstractNumId w:val="7"/>
  </w:num>
  <w:num w:numId="9">
    <w:abstractNumId w:val="12"/>
  </w:num>
  <w:num w:numId="10">
    <w:abstractNumId w:val="4"/>
  </w:num>
  <w:num w:numId="11">
    <w:abstractNumId w:val="11"/>
  </w:num>
  <w:num w:numId="12">
    <w:abstractNumId w:val="6"/>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1"/>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2B"/>
    <w:rsid w:val="00002FC2"/>
    <w:rsid w:val="00014681"/>
    <w:rsid w:val="00024299"/>
    <w:rsid w:val="00041547"/>
    <w:rsid w:val="00085E88"/>
    <w:rsid w:val="000B3981"/>
    <w:rsid w:val="000B7712"/>
    <w:rsid w:val="000E1803"/>
    <w:rsid w:val="000E4AAF"/>
    <w:rsid w:val="00112E84"/>
    <w:rsid w:val="001D5E78"/>
    <w:rsid w:val="001F0C16"/>
    <w:rsid w:val="00221CB9"/>
    <w:rsid w:val="00232CD0"/>
    <w:rsid w:val="00282D4B"/>
    <w:rsid w:val="00286BDC"/>
    <w:rsid w:val="002C2441"/>
    <w:rsid w:val="002E481B"/>
    <w:rsid w:val="002F0082"/>
    <w:rsid w:val="003126E3"/>
    <w:rsid w:val="00376AFF"/>
    <w:rsid w:val="0037701B"/>
    <w:rsid w:val="00383279"/>
    <w:rsid w:val="0038389E"/>
    <w:rsid w:val="00391839"/>
    <w:rsid w:val="003B4AEC"/>
    <w:rsid w:val="003B7E59"/>
    <w:rsid w:val="0041562B"/>
    <w:rsid w:val="00423F40"/>
    <w:rsid w:val="00483872"/>
    <w:rsid w:val="004E6EB3"/>
    <w:rsid w:val="004F2A3E"/>
    <w:rsid w:val="005004B4"/>
    <w:rsid w:val="005010D2"/>
    <w:rsid w:val="00504D8D"/>
    <w:rsid w:val="00515224"/>
    <w:rsid w:val="00570507"/>
    <w:rsid w:val="00581730"/>
    <w:rsid w:val="00662745"/>
    <w:rsid w:val="00757176"/>
    <w:rsid w:val="007F0EF0"/>
    <w:rsid w:val="008124EF"/>
    <w:rsid w:val="00846C7C"/>
    <w:rsid w:val="0089358A"/>
    <w:rsid w:val="008C02B7"/>
    <w:rsid w:val="008C5354"/>
    <w:rsid w:val="008E6D4B"/>
    <w:rsid w:val="00906DCD"/>
    <w:rsid w:val="0095010A"/>
    <w:rsid w:val="00957AB4"/>
    <w:rsid w:val="00985599"/>
    <w:rsid w:val="009C3242"/>
    <w:rsid w:val="009D7BF9"/>
    <w:rsid w:val="009E483B"/>
    <w:rsid w:val="00A330AF"/>
    <w:rsid w:val="00A6513C"/>
    <w:rsid w:val="00A7554B"/>
    <w:rsid w:val="00A91835"/>
    <w:rsid w:val="00AB4523"/>
    <w:rsid w:val="00AC0E1E"/>
    <w:rsid w:val="00B02A66"/>
    <w:rsid w:val="00B117F3"/>
    <w:rsid w:val="00B1206B"/>
    <w:rsid w:val="00B138F2"/>
    <w:rsid w:val="00B15C0C"/>
    <w:rsid w:val="00B34EFC"/>
    <w:rsid w:val="00B62C4B"/>
    <w:rsid w:val="00B71C3A"/>
    <w:rsid w:val="00BD35F5"/>
    <w:rsid w:val="00C119BD"/>
    <w:rsid w:val="00C359FF"/>
    <w:rsid w:val="00C37F0C"/>
    <w:rsid w:val="00C62F41"/>
    <w:rsid w:val="00C80577"/>
    <w:rsid w:val="00C964D0"/>
    <w:rsid w:val="00C97EE9"/>
    <w:rsid w:val="00CD4457"/>
    <w:rsid w:val="00CF73E4"/>
    <w:rsid w:val="00D335E2"/>
    <w:rsid w:val="00D67ACE"/>
    <w:rsid w:val="00D84155"/>
    <w:rsid w:val="00DB6B53"/>
    <w:rsid w:val="00DD1287"/>
    <w:rsid w:val="00E11E12"/>
    <w:rsid w:val="00E23682"/>
    <w:rsid w:val="00E66B8F"/>
    <w:rsid w:val="00EB4B9E"/>
    <w:rsid w:val="00EE5A03"/>
    <w:rsid w:val="00F024FA"/>
    <w:rsid w:val="00FB7D2B"/>
    <w:rsid w:val="00FD3249"/>
    <w:rsid w:val="00FF72E2"/>
    <w:rsid w:val="019844DB"/>
    <w:rsid w:val="05D4E367"/>
    <w:rsid w:val="09133ADF"/>
    <w:rsid w:val="0A0D3D93"/>
    <w:rsid w:val="0B65FE80"/>
    <w:rsid w:val="13D6C1BE"/>
    <w:rsid w:val="1804782F"/>
    <w:rsid w:val="195A447C"/>
    <w:rsid w:val="1A497392"/>
    <w:rsid w:val="1A72F5A0"/>
    <w:rsid w:val="1FF7D9DF"/>
    <w:rsid w:val="2929EEC6"/>
    <w:rsid w:val="292C24F9"/>
    <w:rsid w:val="2D35D294"/>
    <w:rsid w:val="35516AAF"/>
    <w:rsid w:val="35EF4971"/>
    <w:rsid w:val="378B19D2"/>
    <w:rsid w:val="3F7D7ED8"/>
    <w:rsid w:val="4C3467DA"/>
    <w:rsid w:val="4C8CEC88"/>
    <w:rsid w:val="504F3BB1"/>
    <w:rsid w:val="557FC9F3"/>
    <w:rsid w:val="585A7A59"/>
    <w:rsid w:val="5CBF95E4"/>
    <w:rsid w:val="5CD8BDB5"/>
    <w:rsid w:val="6097C38C"/>
    <w:rsid w:val="611BF5AE"/>
    <w:rsid w:val="637AF194"/>
    <w:rsid w:val="66F43AF1"/>
    <w:rsid w:val="67143CEB"/>
    <w:rsid w:val="6B61BC3F"/>
    <w:rsid w:val="706F3F0C"/>
    <w:rsid w:val="728C1794"/>
    <w:rsid w:val="734F0B5B"/>
    <w:rsid w:val="7667FBFA"/>
    <w:rsid w:val="7B289417"/>
    <w:rsid w:val="7E552025"/>
    <w:rsid w:val="7FF0F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0CC07"/>
  <w15:docId w15:val="{F6C72C84-A99E-4A2A-ACD5-7A9D965B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330AF"/>
    <w:pPr>
      <w:keepNext/>
      <w:spacing w:after="0" w:line="240" w:lineRule="auto"/>
      <w:outlineLvl w:val="0"/>
    </w:pPr>
    <w:rPr>
      <w:rFonts w:ascii="Times New Roman" w:eastAsia="Times New Roman" w:hAnsi="Times New Roman" w:cs="Times New Roman"/>
      <w:b/>
      <w:bCs/>
      <w:sz w:val="20"/>
      <w:szCs w:val="24"/>
      <w:u w:val="single"/>
      <w:lang w:eastAsia="en-GB"/>
    </w:rPr>
  </w:style>
  <w:style w:type="paragraph" w:styleId="Heading2">
    <w:name w:val="heading 2"/>
    <w:basedOn w:val="Normal"/>
    <w:next w:val="Normal"/>
    <w:link w:val="Heading2Char"/>
    <w:qFormat/>
    <w:rsid w:val="00A330AF"/>
    <w:pPr>
      <w:keepNext/>
      <w:spacing w:after="0" w:line="240" w:lineRule="auto"/>
      <w:outlineLvl w:val="1"/>
    </w:pPr>
    <w:rPr>
      <w:rFonts w:ascii="Times New Roman" w:eastAsia="Times New Roman" w:hAnsi="Times New Roman" w:cs="Times New Roman"/>
      <w:b/>
      <w:bCs/>
      <w:sz w:val="18"/>
      <w:szCs w:val="24"/>
      <w:lang w:eastAsia="en-GB"/>
    </w:rPr>
  </w:style>
  <w:style w:type="paragraph" w:styleId="Heading3">
    <w:name w:val="heading 3"/>
    <w:basedOn w:val="Normal"/>
    <w:next w:val="Normal"/>
    <w:link w:val="Heading3Char"/>
    <w:qFormat/>
    <w:rsid w:val="00A330AF"/>
    <w:pPr>
      <w:keepNext/>
      <w:spacing w:after="0" w:line="240" w:lineRule="auto"/>
      <w:outlineLvl w:val="2"/>
    </w:pPr>
    <w:rPr>
      <w:rFonts w:ascii="Times New Roman" w:eastAsia="Times New Roman" w:hAnsi="Times New Roman" w:cs="Times New Roman"/>
      <w:b/>
      <w:bCs/>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5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599"/>
    <w:rPr>
      <w:rFonts w:ascii="Tahoma" w:hAnsi="Tahoma" w:cs="Tahoma"/>
      <w:sz w:val="16"/>
      <w:szCs w:val="16"/>
    </w:rPr>
  </w:style>
  <w:style w:type="paragraph" w:styleId="Header">
    <w:name w:val="header"/>
    <w:basedOn w:val="Normal"/>
    <w:link w:val="HeaderChar"/>
    <w:uiPriority w:val="99"/>
    <w:unhideWhenUsed/>
    <w:rsid w:val="009855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599"/>
  </w:style>
  <w:style w:type="paragraph" w:styleId="Footer">
    <w:name w:val="footer"/>
    <w:basedOn w:val="Normal"/>
    <w:link w:val="FooterChar"/>
    <w:uiPriority w:val="99"/>
    <w:unhideWhenUsed/>
    <w:rsid w:val="009855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599"/>
  </w:style>
  <w:style w:type="paragraph" w:styleId="NoSpacing">
    <w:name w:val="No Spacing"/>
    <w:uiPriority w:val="1"/>
    <w:qFormat/>
    <w:rsid w:val="00985599"/>
    <w:pPr>
      <w:spacing w:after="0" w:line="240" w:lineRule="auto"/>
    </w:pPr>
  </w:style>
  <w:style w:type="character" w:styleId="Hyperlink">
    <w:name w:val="Hyperlink"/>
    <w:rsid w:val="00B34EFC"/>
    <w:rPr>
      <w:color w:val="0000FF"/>
      <w:u w:val="single"/>
    </w:rPr>
  </w:style>
  <w:style w:type="paragraph" w:styleId="ListParagraph">
    <w:name w:val="List Paragraph"/>
    <w:basedOn w:val="Normal"/>
    <w:uiPriority w:val="34"/>
    <w:qFormat/>
    <w:rsid w:val="00B34EFC"/>
    <w:pPr>
      <w:spacing w:after="0" w:line="240" w:lineRule="auto"/>
      <w:ind w:left="720"/>
      <w:contextualSpacing/>
    </w:pPr>
    <w:rPr>
      <w:rFonts w:ascii="Arial" w:eastAsia="Calibri" w:hAnsi="Arial" w:cs="Arial"/>
      <w:sz w:val="24"/>
      <w:szCs w:val="24"/>
    </w:rPr>
  </w:style>
  <w:style w:type="paragraph" w:customStyle="1" w:styleId="Default">
    <w:name w:val="Default"/>
    <w:rsid w:val="00CD4457"/>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rsid w:val="00A330AF"/>
    <w:rPr>
      <w:rFonts w:ascii="Times New Roman" w:eastAsia="Times New Roman" w:hAnsi="Times New Roman" w:cs="Times New Roman"/>
      <w:b/>
      <w:bCs/>
      <w:sz w:val="20"/>
      <w:szCs w:val="24"/>
      <w:u w:val="single"/>
      <w:lang w:eastAsia="en-GB"/>
    </w:rPr>
  </w:style>
  <w:style w:type="character" w:customStyle="1" w:styleId="Heading2Char">
    <w:name w:val="Heading 2 Char"/>
    <w:basedOn w:val="DefaultParagraphFont"/>
    <w:link w:val="Heading2"/>
    <w:rsid w:val="00A330AF"/>
    <w:rPr>
      <w:rFonts w:ascii="Times New Roman" w:eastAsia="Times New Roman" w:hAnsi="Times New Roman" w:cs="Times New Roman"/>
      <w:b/>
      <w:bCs/>
      <w:sz w:val="18"/>
      <w:szCs w:val="24"/>
      <w:lang w:eastAsia="en-GB"/>
    </w:rPr>
  </w:style>
  <w:style w:type="character" w:customStyle="1" w:styleId="Heading3Char">
    <w:name w:val="Heading 3 Char"/>
    <w:basedOn w:val="DefaultParagraphFont"/>
    <w:link w:val="Heading3"/>
    <w:rsid w:val="00A330AF"/>
    <w:rPr>
      <w:rFonts w:ascii="Times New Roman" w:eastAsia="Times New Roman" w:hAnsi="Times New Roman" w:cs="Times New Roman"/>
      <w:b/>
      <w:bCs/>
      <w:sz w:val="20"/>
      <w:szCs w:val="24"/>
      <w:lang w:eastAsia="en-GB"/>
    </w:rPr>
  </w:style>
  <w:style w:type="character" w:styleId="CommentReference">
    <w:name w:val="annotation reference"/>
    <w:basedOn w:val="DefaultParagraphFont"/>
    <w:uiPriority w:val="99"/>
    <w:semiHidden/>
    <w:unhideWhenUsed/>
    <w:rsid w:val="008124EF"/>
    <w:rPr>
      <w:sz w:val="16"/>
      <w:szCs w:val="16"/>
    </w:rPr>
  </w:style>
  <w:style w:type="paragraph" w:styleId="CommentText">
    <w:name w:val="annotation text"/>
    <w:basedOn w:val="Normal"/>
    <w:link w:val="CommentTextChar"/>
    <w:uiPriority w:val="99"/>
    <w:semiHidden/>
    <w:unhideWhenUsed/>
    <w:rsid w:val="008124EF"/>
    <w:pPr>
      <w:spacing w:line="240" w:lineRule="auto"/>
    </w:pPr>
    <w:rPr>
      <w:sz w:val="20"/>
      <w:szCs w:val="20"/>
    </w:rPr>
  </w:style>
  <w:style w:type="character" w:customStyle="1" w:styleId="CommentTextChar">
    <w:name w:val="Comment Text Char"/>
    <w:basedOn w:val="DefaultParagraphFont"/>
    <w:link w:val="CommentText"/>
    <w:uiPriority w:val="99"/>
    <w:semiHidden/>
    <w:rsid w:val="008124EF"/>
    <w:rPr>
      <w:sz w:val="20"/>
      <w:szCs w:val="20"/>
    </w:rPr>
  </w:style>
  <w:style w:type="paragraph" w:styleId="CommentSubject">
    <w:name w:val="annotation subject"/>
    <w:basedOn w:val="CommentText"/>
    <w:next w:val="CommentText"/>
    <w:link w:val="CommentSubjectChar"/>
    <w:uiPriority w:val="99"/>
    <w:semiHidden/>
    <w:unhideWhenUsed/>
    <w:rsid w:val="008124EF"/>
    <w:rPr>
      <w:b/>
      <w:bCs/>
    </w:rPr>
  </w:style>
  <w:style w:type="character" w:customStyle="1" w:styleId="CommentSubjectChar">
    <w:name w:val="Comment Subject Char"/>
    <w:basedOn w:val="CommentTextChar"/>
    <w:link w:val="CommentSubject"/>
    <w:uiPriority w:val="99"/>
    <w:semiHidden/>
    <w:rsid w:val="008124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AD084A6BFFB41B9CACE7FD66CA568" ma:contentTypeVersion="11" ma:contentTypeDescription="Create a new document." ma:contentTypeScope="" ma:versionID="06a3482991af9e12e416db8746c2f0fb">
  <xsd:schema xmlns:xsd="http://www.w3.org/2001/XMLSchema" xmlns:xs="http://www.w3.org/2001/XMLSchema" xmlns:p="http://schemas.microsoft.com/office/2006/metadata/properties" xmlns:ns2="9dcc47d2-5727-4837-bdf7-0ca5643962b3" xmlns:ns3="5753bf7e-610d-4ac5-92c8-853ec0ccc38a" targetNamespace="http://schemas.microsoft.com/office/2006/metadata/properties" ma:root="true" ma:fieldsID="5b47989905f7781b5c01fc6a10462d53" ns2:_="" ns3:_="">
    <xsd:import namespace="9dcc47d2-5727-4837-bdf7-0ca5643962b3"/>
    <xsd:import namespace="5753bf7e-610d-4ac5-92c8-853ec0ccc3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c47d2-5727-4837-bdf7-0ca564396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3bf7e-610d-4ac5-92c8-853ec0ccc3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D05C89-2DB7-4D37-BB6B-A418BEC2C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c47d2-5727-4837-bdf7-0ca5643962b3"/>
    <ds:schemaRef ds:uri="5753bf7e-610d-4ac5-92c8-853ec0ccc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62111C-ACE7-45C8-830C-36FE2A86B8D1}">
  <ds:schemaRefs>
    <ds:schemaRef ds:uri="http://schemas.microsoft.com/sharepoint/v3/contenttype/forms"/>
  </ds:schemaRefs>
</ds:datastoreItem>
</file>

<file path=customXml/itemProps3.xml><?xml version="1.0" encoding="utf-8"?>
<ds:datastoreItem xmlns:ds="http://schemas.openxmlformats.org/officeDocument/2006/customXml" ds:itemID="{F1555D7F-D0AF-492A-A3A9-FE62F8F886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2362</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Hobbs</dc:creator>
  <cp:lastModifiedBy>Andy Blatch</cp:lastModifiedBy>
  <cp:revision>34</cp:revision>
  <cp:lastPrinted>2016-06-14T07:35:00Z</cp:lastPrinted>
  <dcterms:created xsi:type="dcterms:W3CDTF">2021-08-09T13:40:00Z</dcterms:created>
  <dcterms:modified xsi:type="dcterms:W3CDTF">2021-10-12T19:28:00Z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0x0101007F3AD084A6BFFB41B9CACE7FD66CA568</vt:lpwstr>
  </property>
</Properties>
</file>